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Preventive Intervention and Wellness Playbooks</w:t>
      </w:r>
    </w:p>
    <w:p>
      <w:pPr>
        <w:pStyle w:val="Heading1"/>
      </w:pPr>
      <w:r>
        <w:t>Diabetes Prevention Playbook</w:t>
      </w:r>
    </w:p>
    <w:p>
      <w:r>
        <w:t>Members exhibiting elevated glucose, elevated HbA1c, or elevated BMI should be considered for early prevention-focused interventions. Recommended approaches include nutrition education, weight-management support, physical activity promotion, and preventive screening engagement.</w:t>
      </w:r>
    </w:p>
    <w:p>
      <w:pPr>
        <w:pStyle w:val="Heading1"/>
      </w:pPr>
      <w:r>
        <w:t>Healthy Aging Playbook</w:t>
      </w:r>
    </w:p>
    <w:p>
      <w:r>
        <w:t>Older adults with growing medication burden and chronic conditions benefit from preventive screenings, wellness education, care coordination, and healthy-aging resources.</w:t>
      </w:r>
    </w:p>
    <w:p>
      <w:pPr>
        <w:pStyle w:val="Heading1"/>
      </w:pPr>
      <w:r>
        <w:t>Lifestyle Improvement Playbook</w:t>
      </w:r>
    </w:p>
    <w:p>
      <w:r>
        <w:t>Members with elevated lifestyle-risk scores may benefit from activity coaching, wellness engagement, behavior-change support, and healthy habit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Chaudhari</dc:creator>
  <keywords/>
  <dc:description>generated by python-docx</dc:description>
  <lastModifiedBy>Riya Chaudhari</lastModifiedBy>
  <revision>1</revision>
  <dcterms:created xsi:type="dcterms:W3CDTF">2026-10-26T08:41:38.3370455Z</dcterms:created>
  <dcterms:modified xsi:type="dcterms:W3CDTF">2026-10-26T08:41:38.3370455Z</dcterms:modified>
  <category/>
</coreProperties>
</file>