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Pr>
        <w:pStyle w:val="Title"/>
        <w:jc w:val="center"/>
      </w:pPr>
      <w:r>
        <w:t>Business Summary</w:t>
      </w:r>
    </w:p>
    <w:p>
      <w:pPr>
        <w:jc w:val="center"/>
      </w:pPr>
      <w:r>
        <w:rPr>
          <w:i/>
          <w:color w:val="5A5A5A"/>
        </w:rPr>
        <w:t>Executive brief for marketing stakeholders</w:t>
      </w:r>
    </w:p>
    <w:p>
      <w:r>
        <w:t>Prepared from the supplied Sugar Cosmetics Instagram dataset and project brief.</w:t>
      </w:r>
    </w:p>
    <w:p>
      <w:pPr>
        <w:pStyle w:val="Heading1"/>
      </w:pPr>
      <w:r>
        <w:t>Purpose</w:t>
      </w:r>
    </w:p>
    <w:p>
      <w:r>
        <w:t>Give the marketing team a concise view of Instagram exposure, interaction, content format, campaign, timing, and audience-growth indicators. Results below describe the uploaded dataset and are not independently verified as official Sugar Cosmetics account data.</w:t>
      </w:r>
    </w:p>
    <w:p>
      <w:pPr>
        <w:pStyle w:val="Heading1"/>
      </w:pPr>
      <w:r>
        <w:t>Dataset</w:t>
      </w:r>
    </w:p>
    <w:p>
      <w:r>
        <w:t>50,000 records; 14 columns; date range 19 Apr 2024–19 Apr 2025; 0 missing cells; 0 exact duplicate rows. The spreadsheet has no unique Post ID or Caption field, so record-level analysis must not be represented as verified unique-post analysis.</w:t>
      </w:r>
    </w:p>
    <w:p>
      <w:pPr>
        <w:pStyle w:val="Heading1"/>
      </w:pPr>
      <w:r>
        <w:t>Headline metrics</w:t>
      </w:r>
    </w:p>
    <w:p>
      <w:r>
        <w:t>Total impressions: 1,276,045,750. Summed recorded reach: 987,423,288. Total likes: 147,728,279. Total comments: 18,459,361. Total shares: 8,115,338. Total saves: 8,861,439. Project-defined interactions: 183,164,417. Mean record-level engagement rate by reach: 18.54%.</w:t>
      </w:r>
    </w:p>
    <w:p>
      <w:pPr>
        <w:pStyle w:val="Heading1"/>
      </w:pPr>
      <w:r>
        <w:t>What the descriptive analysis suggests</w:t>
      </w:r>
    </w:p>
    <w:p>
      <w:r>
        <w:t>Reels have the highest average engagement rate (18.61%), while Stories have the highest average likes (2,964) and average interactions (3,677). The differences are small. Influencer Collab has the highest average engagement rate by campaign category (18.60%). Wednesday leads the weekday comparison at 18.63%. Treat these as hypotheses, not causal findings.</w:t>
      </w:r>
    </w:p>
    <w:p>
      <w:pPr>
        <w:pStyle w:val="Heading1"/>
      </w:pPr>
      <w:r>
        <w:t>Recommended next actions</w:t>
      </w:r>
    </w:p>
    <w:p>
      <w:r>
        <w:t>1. Test comparable creative across formats and evaluate rate and volume together. 2. Rotate similar content across weekdays to test timing. 3. Review hashtags after normalizing them into individual tags. 4. Track the path from reach to profile visits and follows with clear attribution. 5. Add Post ID, caption, spend, campaign objective, clicks/conversions, and revenue if available to support post-level and ROI decisions.</w:t>
      </w:r>
    </w:p>
    <w:p>
      <w:pPr>
        <w:pStyle w:val="Heading1"/>
      </w:pPr>
      <w:r>
        <w:t>Decision guardrails</w:t>
      </w:r>
    </w:p>
    <w:p>
      <w:r>
        <w:t>Do not label summed reach as unique annual reach; audiences may overlap across records. Engagement rate is (likes + comments + shares + saves) / reach × 100 and may exceed 100% in some datasets because people can perform multiple interactions. Follows/profile visits is exploratory unless attribution is validated. Verify the data source and row meaning before external claims.</w:t>
      </w:r>
    </w:p>
    <w:p>
      <w:r>
        <w:t>Method note: descriptive analytics only. Validate data provenance, row grain, and metric attribution before making public or commercial claims.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9A20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9A20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55143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