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pStyle w:val="Title"/>
        <w:jc w:val="center"/>
      </w:pPr>
      <w:r>
        <w:t>Instagram Performance Insights</w:t>
      </w:r>
    </w:p>
    <w:p>
      <w:pPr>
        <w:jc w:val="center"/>
      </w:pPr>
      <w:r>
        <w:rPr>
          <w:i/>
          <w:color w:val="5A5A5A"/>
        </w:rPr>
        <w:t>Data Analytics &amp; AI End-to-End Project</w:t>
      </w:r>
    </w:p>
    <w:p>
      <w:r>
        <w:t>Prepared from the supplied Sugar Cosmetics Instagram dataset and project brief.</w:t>
      </w:r>
    </w:p>
    <w:p>
      <w:pPr>
        <w:pStyle w:val="Heading1"/>
      </w:pPr>
      <w:r>
        <w:t>Executive summary</w:t>
      </w:r>
    </w:p>
    <w:p>
      <w:pPr>
        <w:pStyle w:val="ListBullet"/>
      </w:pPr>
      <w:r>
        <w:t>The uploaded file contains 50,000 records across 14 fields, dated 19 Apr 2024 to 19 Apr 2025. It has 0 missing cells and 0 exact duplicate rows. These checks are reassuring, but they do not establish that each row is a unique real Instagram post or that the data came from Sugar Cosmetics’ official account.</w:t>
      </w:r>
    </w:p>
    <w:p>
      <w:pPr>
        <w:pStyle w:val="ListBullet"/>
      </w:pPr>
      <w:r>
        <w:t>Across the records, impressions sum to 1,276,045,750, reach sums to 987,423,288, likes sum to 147,728,279, and project-defined interactions (likes + comments + shares + saves) sum to 183,164,417. The mean record-level engagement rate by reach is 18.54%. Summed reach is not unique annual audience reach because the same account can be reached by multiple records.</w:t>
      </w:r>
    </w:p>
    <w:p>
      <w:pPr>
        <w:pStyle w:val="Heading1"/>
      </w:pPr>
      <w:r>
        <w:t>Verified descriptive findings</w:t>
      </w:r>
    </w:p>
    <w:p>
      <w:pPr>
        <w:pStyle w:val="ListBullet"/>
      </w:pPr>
      <w:r>
        <w:t>Content format: Reels have the highest average engagement rate (18.61%), narrowly ahead of Stories (18.60%). Stories have the highest average likes (2,964) and average project-defined engagement (3,677). Differences are small; do not call one format a decisive winner.</w:t>
      </w:r>
    </w:p>
    <w:p>
      <w:pPr>
        <w:pStyle w:val="ListBullet"/>
      </w:pPr>
      <w:r>
        <w:t>Campaign category: Influencer Collab has the highest average engagement rate (18.60%) among listed categories, while Festive Offer has the lowest (18.44%). The gap is modest and should be tested with reach, sample sizes, and campaign context.</w:t>
      </w:r>
    </w:p>
    <w:p>
      <w:pPr>
        <w:pStyle w:val="ListBullet"/>
      </w:pPr>
      <w:r>
        <w:t>Weekday: Wednesday has the highest average engagement rate (18.63%) and Sunday the lowest (18.42%). This is descriptive association, not proof that posting on a particular day causes stronger engagement.</w:t>
      </w:r>
    </w:p>
    <w:p>
      <w:pPr>
        <w:pStyle w:val="ListBullet"/>
      </w:pPr>
      <w:r>
        <w:t>Monthly pattern: 2025-01 has the highest average record-level engagement rate (18.67%). Monthly record counts vary, and the first and last months are partial periods, so compare like-for-like periods before drawing trend conclusions.</w:t>
      </w:r>
    </w:p>
    <w:p>
      <w:pPr>
        <w:pStyle w:val="ListBullet"/>
      </w:pPr>
      <w:r>
        <w:t>Data quality: numeric fields are complete and non-negative in the supplied file; Reach does not exceed Impressions in the supplied records. Still verify row meaning, source provenance, metric definitions, and whether records are observed, generated, or simulated.</w:t>
      </w:r>
    </w:p>
    <w:p>
      <w:pPr>
        <w:pStyle w:val="Heading1"/>
      </w:pPr>
      <w:r>
        <w:t>Recommended business actions</w:t>
      </w:r>
    </w:p>
    <w:p>
      <w:pPr>
        <w:pStyle w:val="ListBullet"/>
      </w:pPr>
      <w:r>
        <w:t>Run a controlled content test: publish comparable creative concepts across Reel, Story, Image, and Video formats; keep campaign objective, audience, and spend as consistent as practical; compare engagement rate, saves/shares per reach, profile visits per reach, and follows per profile visit.</w:t>
      </w:r>
    </w:p>
    <w:p>
      <w:pPr>
        <w:pStyle w:val="ListBullet"/>
      </w:pPr>
      <w:r>
        <w:t>Build a content calendar experiment around weekday hypotheses. Rotate content across days over multiple weeks rather than assigning one content type to one weekday.</w:t>
      </w:r>
    </w:p>
    <w:p>
      <w:pPr>
        <w:pStyle w:val="ListBullet"/>
      </w:pPr>
      <w:r>
        <w:t>Evaluate campaign categories using both average rate and volume. High average engagement on a small sample may not deliver the greatest total business contribution.</w:t>
      </w:r>
    </w:p>
    <w:p>
      <w:pPr>
        <w:pStyle w:val="ListBullet"/>
      </w:pPr>
      <w:r>
        <w:t>Separate awareness (reach/impressions), interaction (likes/comments/shares/saves), consideration (profile visits), and audience growth (follows). Avoid treating these as a single funnel unless attribution and event definitions are compatible.</w:t>
      </w:r>
    </w:p>
    <w:p>
      <w:pPr>
        <w:pStyle w:val="ListBullet"/>
      </w:pPr>
      <w:r>
        <w:t>Use hashtag analysis only after splitting the comma-separated Hashtags field into one hashtag per row in Power Query. Compare hashtag usage counts and average performance; label results as association, not causal lift.</w:t>
      </w:r>
    </w:p>
    <w:p>
      <w:pPr>
        <w:pStyle w:val="Heading1"/>
      </w:pPr>
      <w:r>
        <w:t>Important caveats</w:t>
      </w:r>
    </w:p>
    <w:p>
      <w:pPr>
        <w:pStyle w:val="ListBullet"/>
      </w:pPr>
      <w:r>
        <w:t>No unique Post ID or Caption field appears in the actual spreadsheet. Therefore, a true Top 10 Posts table cannot uniquely identify records by post or show captions unless a reliable identifier/caption source is added. Use a row index as a temporary record key only, and label it Record ID—not Post ID.</w:t>
      </w:r>
    </w:p>
    <w:p>
      <w:pPr>
        <w:pStyle w:val="ListBullet"/>
      </w:pPr>
      <w:r>
        <w:t>The dataset has 50,000 records over about one year, with very similar category averages. Verify that the row grain and source are appropriate before presenting results as actual Sugar Cosmetics account performance.</w:t>
      </w:r>
    </w:p>
    <w:p>
      <w:pPr>
        <w:pStyle w:val="ListBullet"/>
      </w:pPr>
      <w:r>
        <w:t>Engagement Rate = (Likes + Comments + Shares + Saves) / Reach × 100. It is a project-defined rate; it does not mean that this percentage of people engaged because one account can perform multiple interactions.</w:t>
      </w:r>
    </w:p>
    <w:p>
      <w:pPr>
        <w:pStyle w:val="ListBullet"/>
      </w:pPr>
      <w:r>
        <w:t>Follows divided by Profile Visits should be called an exploratory follow-to-profile-visit ratio unless attribution rules and time windows are confirmed.</w:t>
      </w:r>
    </w:p>
    <w:p>
      <w:r>
        <w:t>Method note: descriptive analytics only. Validate data provenance, row grain, and metric attribution before making public or commercial claims.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9A20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9A20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5514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