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1600"/>
        <w:jc w:val="center"/>
      </w:pPr>
      <w:r>
        <w:t xml:space="preserve">Kapture Finance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Collections Voice AI Agent — "Maya"</w:t>
      </w:r>
    </w:p>
    <w:p>
      <w:pPr>
        <w:spacing w:after="40"/>
        <w:jc w:val="center"/>
      </w:pPr>
      <w:r>
        <w:rPr>
          <w:color w:val="555555"/>
          <w:sz w:val="26"/>
          <w:szCs w:val="26"/>
        </w:rPr>
        <w:t xml:space="preserve">High-Level Design Document</w:t>
      </w:r>
    </w:p>
    <w:p>
      <w:pPr>
        <w:spacing w:after="600"/>
        <w:jc w:val="center"/>
      </w:pPr>
      <w:r>
        <w:rPr>
          <w:i/>
          <w:iCs/>
          <w:color w:val="777777"/>
          <w:sz w:val="22"/>
          <w:szCs w:val="22"/>
        </w:rPr>
        <w:t xml:space="preserve">AI Delivery Intern — Take-Home Assignment · Task 1</w:t>
      </w:r>
    </w:p>
    <w:p>
      <w:r>
        <w:br w:type="page"/>
      </w:r>
    </w:p>
    <w:p>
      <w:pPr>
        <w:pStyle w:val="Heading1"/>
        <w:spacing w:after="160" w:before="360"/>
      </w:pPr>
      <w:r>
        <w:t xml:space="preserve">0. Scope &amp; Assumptions</w:t>
      </w:r>
    </w:p>
    <w:p>
      <w:pPr>
        <w:spacing w:after="140"/>
      </w:pPr>
      <w:r>
        <w:t xml:space="preserve">This document is the engineer-ready design for an outbound collections voicebot ("Maya") built for Kapture Finance. It is written to be implementable directly on Vapi (voice orchestration platform) with pluggable STT/LLM/TTS providers, and covers architecture, conversation design, tool contracts, compliance guardrails, edge cases, and observability.</w:t>
      </w:r>
    </w:p>
    <w:p>
      <w:pPr>
        <w:spacing w:after="140"/>
      </w:pPr>
      <w:r>
        <w:t xml:space="preserve">Reference scenario used throughout: customer Rahul Sharma, personal loan, ₹8,499 overdue EMI, 12 days past due (DPD).</w:t>
      </w:r>
    </w:p>
    <w:p>
      <w:pPr>
        <w:spacing w:after="80"/>
      </w:pPr>
      <w:r>
        <w:rPr>
          <w:b/>
          <w:bCs/>
        </w:rPr>
        <w:t xml:space="preserve">Key assumptions: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active loan per outbound call context (multi-loan accounts are out of scope for v1).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Calling hours, consent, and DNC rules follow RBI Fair Practices Code-style norms (08:00–19:00 local time, immediate opt-out).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collection itself happens outside the call (via a payment link) — the bot never takes card/bank details on the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Vapi is the orchestration layer; the LLM never talks to telephony or STT/TTS directly — Vapi mediates all of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single low-privilege service account is used for all tool calls; no PII is passed in tool arguments beyond what is required by that tool.</w:t>
      </w:r>
    </w:p>
    <w:p>
      <w:pPr>
        <w:pStyle w:val="Heading1"/>
        <w:spacing w:after="160" w:before="360"/>
      </w:pPr>
      <w:r>
        <w:t xml:space="preserve">1. Architecture &amp; Pipeline</w:t>
      </w:r>
    </w:p>
    <w:p>
      <w:pPr>
        <w:spacing w:after="140"/>
      </w:pPr>
      <w:r>
        <w:t xml:space="preserve">The system is a real-time voice pipeline orchestrated by Vapi, with the LLM acting purely as a reasoning/dialogue layer that never talks to external systems except through declared tools.</w:t>
      </w:r>
    </w:p>
    <w:p>
      <w:pPr>
        <w:spacing w:after="200"/>
        <w:jc w:val="center"/>
      </w:pPr>
      <w:r>
        <w:drawing>
          <wp:inline distT="0" distB="0" distL="0" distR="0">
            <wp:extent cx="5905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1.1 Component choices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400"/>
      </w:tblGrid>
      <w:tr>
        <w:trPr>
          <w:tblHeader/>
        </w:trPr>
        <w:tc>
          <w:tcPr>
            <w:tcW w:type="dxa" w:w="22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44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Telephony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PSTN/SIP via Vapi-managed number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Handles outbound dialing, DTMF, call control without building SIP infra from scratch.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Deepgram Nova-2 (multi / en-IN + hi)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Low-latency streaming transcription; strong performance on Indian-accented English and Hindi code-switching.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Orchestrator LLM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GPT-4o (or Claude Sonnet) via Vapi, temp 0.1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Reliable tool-calling and instruction-following at low temperature, needed for compliance-critical branching.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TTS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ElevenLabs / Cartesia, professional female voice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Natural, low-latency conversational voice; avoids robotic TTS that increases hang-ups.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 layer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 webhook (mock in this build)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Simple, inspectable contract for verify/log/escalate/disposition actions; easy to swap for real CRM/LMS APIs later.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Datastore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 DB + append-only call/disposition log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of truth for verification and audit trail for compliance review.</w:t>
            </w:r>
          </w:p>
        </w:tc>
      </w:tr>
    </w:tbl>
    <w:p>
      <w:pPr>
        <w:pStyle w:val="Heading2"/>
        <w:spacing w:after="120" w:before="260"/>
      </w:pPr>
      <w:r>
        <w:t xml:space="preserve">1.2 Latency budget</w:t>
      </w:r>
    </w:p>
    <w:p>
      <w:pPr>
        <w:spacing w:after="140"/>
      </w:pPr>
      <w:r>
        <w:t xml:space="preserve">Target end-to-end round trip (caller speaks → bot replies) is under 1.2 seconds, broken down as: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600"/>
        <w:gridCol w:w="3800"/>
      </w:tblGrid>
      <w:tr>
        <w:trPr>
          <w:tblHeader/>
        </w:trPr>
        <w:tc>
          <w:tcPr>
            <w:tcW w:type="dxa" w:w="20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Hop</w:t>
            </w:r>
          </w:p>
        </w:tc>
        <w:tc>
          <w:tcPr>
            <w:tcW w:type="dxa" w:w="28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Budget</w:t>
            </w:r>
          </w:p>
        </w:tc>
        <w:tc>
          <w:tcPr>
            <w:tcW w:type="dxa" w:w="38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Caller → STT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Deepgram streaming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~200ms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 + final transcripts used to reduce perceived latency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STT → LLM first token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Orchestrator, tool-aware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~400ms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Streaming response; low temperature to keep decisions fast and consistent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→ TTS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ElevenLabs/Cartesia synthesis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~300ms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Audio streamed in chunks, not generated in full before playback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Network/jitter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SIP trunk + carrier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~200ms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Varies by carrier/region; monitored per-call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End-to-end turnaround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~1.1s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the 1.2s target</w:t>
            </w:r>
          </w:p>
        </w:tc>
      </w:tr>
    </w:tbl>
    <w:p>
      <w:pPr>
        <w:spacing w:after="140"/>
      </w:pPr>
      <w:r>
        <w:t xml:space="preserve">Tool calls (verify_customer, log_promise_to_pay, etc.) execute inline within an LLM turn and typically add 100–250ms each; these are budgeted separately and are allowed to exceed the conversational turn budget slightly since the caller is told "one moment" implicitly via a short filler/hold behavior configured in Vapi.</w:t>
      </w:r>
    </w:p>
    <w:p>
      <w:pPr>
        <w:pStyle w:val="Heading1"/>
        <w:spacing w:after="160" w:before="360"/>
      </w:pPr>
      <w:r>
        <w:t xml:space="preserve">2. Conversation Flow / State Machine</w:t>
      </w:r>
    </w:p>
    <w:p>
      <w:pPr>
        <w:spacing w:after="140"/>
      </w:pPr>
      <w:r>
        <w:t xml:space="preserve">The flow is modeled as an explicit state machine, not left to prompt discretion. Critically, the transition out of the authentication state is gated on a tool result (verify_customer returning verified:true), not on the model’s interpretation of what the caller said.</w:t>
      </w:r>
    </w:p>
    <w:p>
      <w:pPr>
        <w:spacing w:after="200"/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2.1 States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4000"/>
      </w:tblGrid>
      <w:tr>
        <w:trPr>
          <w:tblHeader/>
        </w:trPr>
        <w:tc>
          <w:tcPr>
            <w:tcW w:type="dxa" w:w="26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36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0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Exit condition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0 — INIT / Greeting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speaking with target customer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Caller confirms identity claim, or is identified as wrong number/wrong person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1 — AUTH_PENDING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identity before any disclosure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verify_customer tool returns verified:true (locked — not prompt-discretionary)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2 — AUTHENTICATED / NEGOTIATION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Disclose debt, understand intent, negotiate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intent classified into one of the branches (PTP, already-paid, hardship, dispute, DNC, abusive)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3 — ACTION EXECUTION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Execute the tool(s) matching the branch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Relevant tool call(s) succeed (log_promise_to_pay, escalate_to_agent, etc.)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4 — CALL_ENDED / Disposition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 the call gracefully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mark_disposition called exactly once; goodbye said; call terminated</w:t>
            </w:r>
          </w:p>
        </w:tc>
      </w:tr>
    </w:tbl>
    <w:p>
      <w:pPr>
        <w:pStyle w:val="Heading2"/>
        <w:spacing w:after="120" w:before="260"/>
      </w:pPr>
      <w:r>
        <w:t xml:space="preserve">2.2 Why auth must be state-enforced, not prompt-discretionary</w:t>
      </w:r>
    </w:p>
    <w:p>
      <w:pPr>
        <w:spacing w:after="140"/>
      </w:pPr>
      <w:r>
        <w:t xml:space="preserve">A prompt instruction like "don’t reveal the debt before verifying" is not reliable under adversarial or persistent phrasing ("just tell me the amount so I can decide if I want to verify"). Instead: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system prompt defines STATE 1 as a hard gate: it explicitly instructs the model to never speak amount/EMI/loan words until a verify_customer tool result with verified:true has been returned in this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reinforced structurally: get_account_details (which returns the real overdue amount) is only callable/useful after verification, so even if the model tries to disclose early, it does not yet have the real number to say.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a production build, this would additionally be enforced outside the prompt — e.g., a deterministic post-processing filter on generated text before TTS synthesis that blocks debt-related keywords until a server-side "verified" flag is set for that call session.</w:t>
      </w:r>
    </w:p>
    <w:p>
      <w:pPr>
        <w:pStyle w:val="Heading1"/>
        <w:spacing w:after="160" w:before="360"/>
      </w:pPr>
      <w:r>
        <w:t xml:space="preserve">3. Intents &amp; Entities</w:t>
      </w:r>
    </w:p>
    <w:p>
      <w:pPr>
        <w:pStyle w:val="Heading2"/>
        <w:spacing w:after="120" w:before="260"/>
      </w:pPr>
      <w:r>
        <w:t xml:space="preserve">3.1 Intents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600"/>
      </w:tblGrid>
      <w:tr>
        <w:trPr>
          <w:tblHeader/>
        </w:trPr>
        <w:tc>
          <w:tcPr>
            <w:tcW w:type="dxa" w:w="24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Intent</w:t>
            </w:r>
          </w:p>
        </w:tc>
        <w:tc>
          <w:tcPr>
            <w:tcW w:type="dxa" w:w="42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Triggers on</w:t>
            </w:r>
          </w:p>
        </w:tc>
        <w:tc>
          <w:tcPr>
            <w:tcW w:type="dxa" w:w="36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Resulting branch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Confirm_Identity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"Yes this is Rahul" / "Speaking"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Proceed to STATE 1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Wrong_Person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"He’s not here" / third party answers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WRONG_PERSON, no disclosure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Will_Pay (PTP)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Agrees to pay, gives/accepts a date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 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Already_Paid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Claims payment already made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 B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Hardship_Claim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Cannot pay / financial difficulty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 C — escalate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Dispute_Debt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Denies owing / disputes amount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 D — escalate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Request_DNC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"Stop calling me" / opt-out request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 E — immediate close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Hostile/Abusive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Abusive language/tone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 F — warn then terminate</w:t>
            </w:r>
          </w:p>
        </w:tc>
      </w:tr>
    </w:tbl>
    <w:p>
      <w:pPr>
        <w:pStyle w:val="Heading2"/>
        <w:spacing w:after="120" w:before="260"/>
      </w:pPr>
      <w:r>
        <w:t xml:space="preserve">3.2 Entities extracted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5200"/>
      </w:tblGrid>
      <w:tr>
        <w:trPr>
          <w:tblHeader/>
        </w:trPr>
        <w:tc>
          <w:tcPr>
            <w:tcW w:type="dxa" w:w="26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Entity</w:t>
            </w:r>
          </w:p>
        </w:tc>
        <w:tc>
          <w:tcPr>
            <w:tcW w:type="dxa" w:w="24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verification_code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(4 chars)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 last-4 or birth year; never logged in plaintext beyond the verification call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PTP_date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ISO-8601 date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Normalized from natural language ("this Friday") before being passed to tools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PTP_amount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(INR)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Defaults to full overdue amount unless a partial arrangement is explicitly negotiated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hardship_reason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summary passed to the human agent on escalation, not used for any automated decision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disposition_status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of the fixed status values defined in mark_disposition’s schema</w:t>
            </w:r>
          </w:p>
        </w:tc>
      </w:tr>
    </w:tbl>
    <w:p>
      <w:pPr>
        <w:pStyle w:val="Heading1"/>
        <w:spacing w:after="160" w:before="360"/>
      </w:pPr>
      <w:r>
        <w:t xml:space="preserve">4. Tools / API Calls</w:t>
      </w:r>
    </w:p>
    <w:p>
      <w:pPr>
        <w:spacing w:after="140"/>
      </w:pPr>
      <w:r>
        <w:t xml:space="preserve">Six tools are exposed to the LLM as function-calling schemas (full JSON in vapi/tool_definitions.json). Summary: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3400"/>
      </w:tblGrid>
      <w:tr>
        <w:trPr>
          <w:tblHeader/>
        </w:trPr>
        <w:tc>
          <w:tcPr>
            <w:tcW w:type="dxa" w:w="22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26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24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34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Gate / notes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verify_customer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account_id, verification_code, verification_type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verified (bool), customer_name (masked)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succeed before STATE 2; max 1 retry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get_account_details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account_id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overdue_amount, dpd, loan_type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callable post-verification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log_promise_to_pay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account_id, ptp_date, amount, partial_payment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ptp_id, confirmed_date, amount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Called in Branch A only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send_payment_link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account_id, channel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success, message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Called after log_promise_to_pay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escalate_to_agent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account_id, reason, notes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escalation_id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Hardship, dispute, human request, abusive caller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mark_disposition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account_id, status, notes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disposition_logged, timestamp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Exactly once per call, on every path</w:t>
            </w:r>
          </w:p>
        </w:tc>
      </w:tr>
    </w:tbl>
    <w:p>
      <w:pPr>
        <w:pStyle w:val="Heading1"/>
        <w:spacing w:after="160" w:before="360"/>
      </w:pPr>
      <w:r>
        <w:t xml:space="preserve">5. Auth &amp; Data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Two-factor-lite verification: caller must supply last-4 PAN digits or birth year, matched server-side by verify_customer. This is a shared secret unlikely to be known by someone who merely answers the customer’s phone.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third-party disclosure: if anyone other than the account holder answers, the bot never confirms a loan/account exists for that person — it only says it is "calling regarding [name]’s account" and asks for a callback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debt words pre-verification: "overdue", "EMI", "loan amount", "Kapture Finance debt" are withheld until verified:true is returned in the current call session (re-verification is required every call — verification does not persist across calls).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retry only: a second failed verification attempt ends the call with VERIFICATION_FAILED and no further hints are given about what the correct code might be.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PII masking in logs: names are stored masked (e.g., "Rahul S****") in call logs; verification codes are never persisted in plaintext logs, only a boolean match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Least-privilege tool access: the LLM only ever sees the six declared tools — it has no generic database or filesystem access, so it cannot query anything outside these narrow, purpose-built endpoints.</w:t>
      </w:r>
    </w:p>
    <w:p>
      <w:pPr>
        <w:pStyle w:val="Heading1"/>
        <w:spacing w:after="160" w:before="360"/>
      </w:pPr>
      <w:r>
        <w:t xml:space="preserve">6. Guardrails &amp; Compliance</w:t>
      </w:r>
    </w:p>
    <w:p>
      <w:pPr>
        <w:pStyle w:val="Heading2"/>
        <w:spacing w:after="120" w:before="260"/>
      </w:pPr>
      <w:r>
        <w:t xml:space="preserve">6.1 Mandatory disclosures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Self-identification: the bot always states it is "Maya calling from Kapture Finance" in the opening line — never impersonates a human agent or hides that it is an automated call if asked.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Purpose disclosure: once verified, the purpose (an overdue EMI on a specific loan) is stated plainly before any negotiation begins.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dark patterns: the bot never implies consequences it isn’t authorized to state (e.g., legal action, arrest, blacklisting) and never manufactures urgency beyond factual DPD/credit-score information.</w:t>
      </w:r>
    </w:p>
    <w:p>
      <w:pPr>
        <w:pStyle w:val="Heading2"/>
        <w:spacing w:after="120" w:before="260"/>
      </w:pPr>
      <w:r>
        <w:t xml:space="preserve">6.2 Operational guardrails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Calling hours: outbound calls are only placed 08:00–19:00 local time (enforced at the dialer/campaign level, outside the LLM).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Opt-out handling: a do-not-call request is honored within the same turn — no "are you sure" negotiation loop.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unauthorized waivers: the bot cannot approve discounts/waivers beyond a small authorized band (a 10% ceiling is used here); anything beyond that is escalated to a human, never invented by the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Off-topic guardrail: the bot redirects unrelated questions once, then stays on the collections task — it does not attempt to answer general banking/financial questions it isn’t scoped for.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Hallucination guardrail: all figures (amount, DPD, dates) come only from tool responses/context — the model is instructed never to invent numbers, and confirms extracted dates/amounts back to the caller before calling a tool, to catch STT mis-transcriptions.</w:t>
      </w:r>
    </w:p>
    <w:p>
      <w:pPr>
        <w:pStyle w:val="Heading1"/>
        <w:spacing w:after="160" w:before="360"/>
      </w:pPr>
      <w:r>
        <w:t xml:space="preserve">7. Edge Cases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Edge case</w:t>
            </w:r>
          </w:p>
        </w:tc>
        <w:tc>
          <w:tcPr>
            <w:tcW w:type="dxa" w:w="64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Already paid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Ask for date/method → mark_disposition(ALREADY_PAID) → explain 24–48h processing → close politely, no further pressure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Disputes the amount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arguing — escalate_to_agent(DISPUTE) → mark_disposition(DISPUTED)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Requests do-not-call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 acknowledgment → mark_disposition(DO_NOT_CALL) → end within one turn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 number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Brief apology → mark_disposition(WRONG_NUMBER) → end call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 person (third party answers)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disclosure → ask for callback time → mark_disposition(WRONG_PERSON)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Voicemail / no input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Re-prompt up to 2 times ("Are you still there?") → mark_disposition(NO_RESPONSE) → hang up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Abusive caller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calm warning → if it continues, mark_disposition(ABUSIVE_TERMINATED) → immediate hang up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Mid-call language switch (EN/HI)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 mirrors the caller’s language (Hindi/Hinglish) without resetting state or losing extracted entities</w:t>
            </w:r>
          </w:p>
        </w:tc>
      </w:tr>
    </w:tbl>
    <w:p>
      <w:pPr>
        <w:pStyle w:val="Heading1"/>
        <w:spacing w:after="160" w:before="360"/>
      </w:pPr>
      <w:r>
        <w:t xml:space="preserve">8. Escalation &amp; Disposition</w:t>
      </w:r>
    </w:p>
    <w:p>
      <w:pPr>
        <w:spacing w:after="140"/>
      </w:pPr>
      <w:r>
        <w:t xml:space="preserve">Escalation to a human agent happens via escalate_to_agent for: hardship requests, disputes, explicit requests for a human, and abusive callers (for QA review, not necessarily live transfer). Every call — regardless of path — ends with exactly one mark_disposition call before the bot says goodbye and the call is terminated; this is enforced as a hard rule in the system prompt (Section: STATE 4) and would additionally be enforced by a post-call check in production (flagging any call in the log with no disposition as an incident).</w:t>
      </w:r>
    </w:p>
    <w:p>
      <w:pPr>
        <w:spacing w:after="140"/>
      </w:pPr>
      <w:r>
        <w:t xml:space="preserve">Disposition values used: PTP_AGREED, ALREADY_PAID, DISPUTED, HARDSHIP_ESCALATED, WRONG_PERSON, WRONG_NUMBER, DO_NOT_CALL, NO_RESPONSE, VERIFICATION_FAILED, ABUSIVE_TERMINATED.</w:t>
      </w:r>
    </w:p>
    <w:p>
      <w:pPr>
        <w:pStyle w:val="Heading1"/>
        <w:spacing w:after="160" w:before="360"/>
      </w:pPr>
      <w:r>
        <w:t xml:space="preserve">9. Observability</w:t>
      </w:r>
    </w:p>
    <w:p>
      <w:pPr>
        <w:spacing w:after="140"/>
      </w:pPr>
      <w:r>
        <w:t xml:space="preserve">What gets logged per call: full transcript (for QA sampling), every tool call and its arguments/result, state transitions with timestamps, final disposition, and per-hop latency (STT/LLM/TTS/network).</w:t>
      </w:r>
    </w:p>
    <w:p>
      <w:pPr>
        <w:pStyle w:val="Heading2"/>
        <w:spacing w:after="120" w:before="260"/>
      </w:pPr>
      <w:r>
        <w:t xml:space="preserve">9.1 Metrics to track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000"/>
      </w:tblGrid>
      <w:tr>
        <w:trPr>
          <w:tblHeader/>
        </w:trPr>
        <w:tc>
          <w:tcPr>
            <w:tcW w:type="dxa" w:w="24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2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30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Containment rate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calls resolved without human escalation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efficiency metric for the automation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PTP rate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calls ending in a valid promise-to-pay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business outcome metric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PTP honor rate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PTPs that convert to actual payment (measured post-call)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Distinguishes real commitments from stalling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 round-trip latency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Mean per-turn STT→LLM→TTS latency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Directly affects perceived call quality / hang-up risk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/ hang-up rate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calls ending abnormally (customer hangs up mid-flow)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Signals friction points in the flow or latency issues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failure rate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calls ending in VERIFICATION_FAILED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values may indicate a broken verification factor or fraud attempts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violation rate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sampled calls where debt was mentioned pre-verification (QA-audited)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 measure of the most important guardrail</w:t>
            </w:r>
          </w:p>
        </w:tc>
      </w:tr>
    </w:tbl>
    <w:p>
      <w:pPr>
        <w:spacing w:after="140"/>
      </w:pPr>
      <w:r>
        <w:t xml:space="preserve">These metrics would feed a daily dashboard; sudden shifts (e.g., containment rate drop, latency spike, or any non-zero compliance violation rate) trigger alerts for the AI Delivery team to review transcripts.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97c64e9f76fd4ec1d8401d60bff8c89283d5c6f.png"/><Relationship Id="rId8" Type="http://schemas.openxmlformats.org/officeDocument/2006/relationships/image" Target="media/97b8ee40f0b380a9f4dfb4a7fcbdc2dd7755dbb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2026-08-16T16:50:36.992Z</dcterms:created>
  <dcterms:modified xsi:type="dcterms:W3CDTF">2026-08-16T16:50:36.992Z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