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sz w:val="28"/>
        </w:rPr>
        <w:t>CHAPTER 2</w:t>
      </w:r>
    </w:p>
    <w:p>
      <w:pPr>
        <w:spacing w:before="0" w:after="0" w:line="360" w:lineRule="auto"/>
        <w:jc w:val="center"/>
      </w:pPr>
      <w:r>
        <w:rPr>
          <w:rFonts w:ascii="Times New Roman" w:hAnsi="Times New Roman"/>
          <w:b/>
          <w:sz w:val="28"/>
        </w:rPr>
        <w:t>LITERATURE SURVEY</w:t>
      </w:r>
    </w:p>
    <w:p>
      <w:pPr>
        <w:spacing w:before="0" w:after="120" w:line="360" w:lineRule="auto"/>
      </w:pPr>
    </w:p>
    <w:p>
      <w:pPr>
        <w:spacing w:before="120" w:after="120" w:line="360" w:lineRule="auto"/>
        <w:jc w:val="left"/>
      </w:pPr>
      <w:r>
        <w:rPr>
          <w:rFonts w:ascii="Times New Roman" w:hAnsi="Times New Roman"/>
          <w:b/>
          <w:sz w:val="28"/>
        </w:rPr>
        <w:t>2.1 REVIEW OF EXISTING VEHICLE IDENTIFICATION SYSTEMS</w:t>
      </w:r>
    </w:p>
    <w:p>
      <w:pPr>
        <w:spacing w:before="0" w:after="120" w:line="360" w:lineRule="auto"/>
        <w:ind w:firstLine="567"/>
        <w:jc w:val="both"/>
      </w:pPr>
      <w:r>
        <w:rPr>
          <w:rFonts w:ascii="Times New Roman" w:hAnsi="Times New Roman"/>
          <w:sz w:val="28"/>
        </w:rPr>
        <w:t>The evolution of vehicular access management in secure environments has transitioned from manual paper registries to radio frequency identification (RFID), optical barcode scanners, and contemporary computer vision pipelines. Early automated systems deployed passive RFID transponders affixed to windshields alongside gate-mounted antennas to record timestamped transit entries. While passive RFID tags demonstrated low unit costs, they exhibited significant vulnerability to physical environmental degradation, windshield shielding, and intentional tag detachment.</w:t>
      </w:r>
    </w:p>
    <w:p>
      <w:pPr>
        <w:spacing w:before="0" w:after="120" w:line="360" w:lineRule="auto"/>
        <w:ind w:firstLine="567"/>
        <w:jc w:val="both"/>
      </w:pPr>
      <w:r>
        <w:rPr>
          <w:rFonts w:ascii="Times New Roman" w:hAnsi="Times New Roman"/>
          <w:sz w:val="28"/>
        </w:rPr>
        <w:t>Subsequent investigations introduced active RFID transmitters equipped with dedicated battery cells to extend scanning distances and eliminate line-of-sight constraints. However, active transponders introduced recurrent battery replacement overhead, high capital expenditures for large fleets, and zero capability for identifying unauthorized vehicle exchanges or authenticating the actual driver operating the vehicle during transit.</w:t>
      </w:r>
    </w:p>
    <w:p>
      <w:pPr>
        <w:spacing w:before="120" w:after="120" w:line="360" w:lineRule="auto"/>
        <w:jc w:val="left"/>
      </w:pPr>
      <w:r>
        <w:rPr>
          <w:rFonts w:ascii="Times New Roman" w:hAnsi="Times New Roman"/>
          <w:b w:val="0"/>
          <w:sz w:val="28"/>
        </w:rPr>
        <w:t>2.1.1 Optical Character Recognition and ANPR Evolution</w:t>
      </w:r>
    </w:p>
    <w:p>
      <w:pPr>
        <w:spacing w:before="0" w:after="120" w:line="360" w:lineRule="auto"/>
        <w:ind w:firstLine="567"/>
        <w:jc w:val="both"/>
      </w:pPr>
      <w:r>
        <w:rPr>
          <w:rFonts w:ascii="Times New Roman" w:hAnsi="Times New Roman"/>
          <w:sz w:val="28"/>
        </w:rPr>
        <w:t>With the maturation of digital image processing, Automatic Number Plate Recognition (ANPR) systems emerged as non-intrusive alternatives. Traditional ANPR pipelines utilized hand-crafted morphological filters, edge detectors, and classic template matching algorithms to localize license plate bounds. These early methods suffered from extreme sensitivity to poor illumination, vehicle approach velocity, oblique camera angles, and dirt accumulated on license plates during monsoon conditions.</w:t>
      </w:r>
    </w:p>
    <w:p>
      <w:pPr>
        <w:spacing w:before="0" w:after="120" w:line="360" w:lineRule="auto"/>
        <w:ind w:firstLine="567"/>
        <w:jc w:val="both"/>
      </w:pPr>
      <w:r>
        <w:rPr>
          <w:rFonts w:ascii="Times New Roman" w:hAnsi="Times New Roman"/>
          <w:sz w:val="28"/>
        </w:rPr>
        <w:t>Recent breakthroughs in deep convolutional neural networks (CNNs) such as YOLO (You Only Look Once), SSD (Single Shot MultiBox Detector), and CRNN (Convolutional Recurrent Neural Network) text extractors have radically enhanced localization resilience. Deep networks effectively detect multi-standard alphanumeric plates across variable aspect ratios, shadows, and low-light nocturnal environments without requiring physical vehicle modifications.</w:t>
      </w:r>
    </w:p>
    <w:p>
      <w:pPr>
        <w:spacing w:before="120" w:after="120" w:line="360" w:lineRule="auto"/>
        <w:jc w:val="left"/>
      </w:pPr>
      <w:r>
        <w:rPr>
          <w:rFonts w:ascii="Times New Roman" w:hAnsi="Times New Roman"/>
          <w:b/>
          <w:sz w:val="28"/>
        </w:rPr>
        <w:t>2.2 COMPARATIVE ANALYSIS OF TRANSPORTATION MONITORING TECHNOLOGIES</w:t>
      </w:r>
    </w:p>
    <w:p>
      <w:pPr>
        <w:spacing w:before="0" w:after="120" w:line="360" w:lineRule="auto"/>
        <w:ind w:firstLine="567"/>
        <w:jc w:val="both"/>
      </w:pPr>
      <w:r>
        <w:rPr>
          <w:rFonts w:ascii="Times New Roman" w:hAnsi="Times New Roman"/>
          <w:sz w:val="28"/>
        </w:rPr>
        <w:t>To objectively benchmark existing vehicular tracking paradigms against the PULSE PLATE architecture, several technological criteria including identification precision, driver authentication capability, hardware maintenance, and overall system autonomy must be analyzed. Legacy GPS fleet trackers provide spatial coordinates but fail to provide automated gate ingress verification or driver physiological monitoring.</w:t>
      </w:r>
    </w:p>
    <w:p>
      <w:pPr>
        <w:spacing w:before="120" w:after="80" w:line="360" w:lineRule="auto"/>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figure_2_1.png"/>
                    <pic:cNvPicPr/>
                  </pic:nvPicPr>
                  <pic:blipFill>
                    <a:blip r:embed="rId10"/>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2.1 </w:t>
      </w:r>
      <w:r>
        <w:rPr>
          <w:rFonts w:ascii="Times New Roman" w:hAnsi="Times New Roman"/>
          <w:b w:val="0"/>
          <w:sz w:val="28"/>
        </w:rPr>
        <w:t>Comparative Evaluation of Vehicle Identification Approaches</w:t>
      </w:r>
    </w:p>
    <w:p>
      <w:pPr>
        <w:spacing w:before="0" w:after="120" w:line="360" w:lineRule="auto"/>
        <w:ind w:firstLine="567"/>
        <w:jc w:val="both"/>
      </w:pPr>
      <w:r>
        <w:rPr>
          <w:rFonts w:ascii="Times New Roman" w:hAnsi="Times New Roman"/>
          <w:sz w:val="28"/>
        </w:rPr>
        <w:t>Figure 2.1 presents a comprehensive comparative analysis between traditional paper logbooks, RFID systems, standalone ANPR units, and the proposed PULSE PLATE system. The comparative performance benchmarks across key operational metrics are summarized in Table 2.1.</w:t>
      </w:r>
    </w:p>
    <w:p>
      <w:pPr>
        <w:spacing w:before="160" w:after="80" w:line="360" w:lineRule="auto"/>
        <w:jc w:val="center"/>
      </w:pPr>
      <w:r>
        <w:rPr>
          <w:rFonts w:ascii="Times New Roman" w:hAnsi="Times New Roman"/>
          <w:b/>
          <w:sz w:val="28"/>
        </w:rPr>
        <w:t xml:space="preserve">Table 2.1 </w:t>
      </w:r>
      <w:r>
        <w:rPr>
          <w:rFonts w:ascii="Times New Roman" w:hAnsi="Times New Roman"/>
          <w:b w:val="0"/>
          <w:sz w:val="28"/>
        </w:rPr>
        <w:t>Literature Comparison of Vehicular Access and Monitoring Technologies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1938"/>
        <w:gridCol w:w="1938"/>
        <w:gridCol w:w="1938"/>
        <w:gridCol w:w="1938"/>
        <w:gridCol w:w="1938"/>
      </w:tblGrid>
      <w:tr>
        <w:tc>
          <w:tcPr>
            <w:tcW w:type="dxa" w:w="1938"/>
          </w:tcPr>
          <w:p>
            <w:pPr>
              <w:spacing w:before="60" w:after="60" w:line="360" w:lineRule="auto"/>
              <w:jc w:val="center"/>
            </w:pPr>
            <w:r>
              <w:rPr>
                <w:rFonts w:ascii="Times New Roman" w:hAnsi="Times New Roman"/>
                <w:b/>
                <w:sz w:val="28"/>
              </w:rPr>
              <w:t>Technology</w:t>
            </w:r>
          </w:p>
        </w:tc>
        <w:tc>
          <w:tcPr>
            <w:tcW w:type="dxa" w:w="1938"/>
          </w:tcPr>
          <w:p>
            <w:pPr>
              <w:spacing w:before="60" w:after="60" w:line="360" w:lineRule="auto"/>
              <w:jc w:val="center"/>
            </w:pPr>
            <w:r>
              <w:rPr>
                <w:rFonts w:ascii="Times New Roman" w:hAnsi="Times New Roman"/>
                <w:b/>
                <w:sz w:val="28"/>
              </w:rPr>
              <w:t>Identification Accuracy</w:t>
            </w:r>
          </w:p>
        </w:tc>
        <w:tc>
          <w:tcPr>
            <w:tcW w:type="dxa" w:w="1938"/>
          </w:tcPr>
          <w:p>
            <w:pPr>
              <w:spacing w:before="60" w:after="60" w:line="360" w:lineRule="auto"/>
              <w:jc w:val="center"/>
            </w:pPr>
            <w:r>
              <w:rPr>
                <w:rFonts w:ascii="Times New Roman" w:hAnsi="Times New Roman"/>
                <w:b/>
                <w:sz w:val="28"/>
              </w:rPr>
              <w:t>Driver Verification</w:t>
            </w:r>
          </w:p>
        </w:tc>
        <w:tc>
          <w:tcPr>
            <w:tcW w:type="dxa" w:w="1938"/>
          </w:tcPr>
          <w:p>
            <w:pPr>
              <w:spacing w:before="60" w:after="60" w:line="360" w:lineRule="auto"/>
              <w:jc w:val="center"/>
            </w:pPr>
            <w:r>
              <w:rPr>
                <w:rFonts w:ascii="Times New Roman" w:hAnsi="Times New Roman"/>
                <w:b/>
                <w:sz w:val="28"/>
              </w:rPr>
              <w:t>Maintenance Cost</w:t>
            </w:r>
          </w:p>
        </w:tc>
        <w:tc>
          <w:tcPr>
            <w:tcW w:type="dxa" w:w="1938"/>
          </w:tcPr>
          <w:p>
            <w:pPr>
              <w:spacing w:before="60" w:after="60" w:line="360" w:lineRule="auto"/>
              <w:jc w:val="center"/>
            </w:pPr>
            <w:r>
              <w:rPr>
                <w:rFonts w:ascii="Times New Roman" w:hAnsi="Times New Roman"/>
                <w:b/>
                <w:sz w:val="28"/>
              </w:rPr>
              <w:t>Key Limitations</w:t>
            </w:r>
          </w:p>
        </w:tc>
      </w:tr>
      <w:tr>
        <w:tc>
          <w:tcPr>
            <w:tcW w:type="dxa" w:w="1938"/>
          </w:tcPr>
          <w:p>
            <w:pPr>
              <w:spacing w:before="60" w:after="60" w:line="360" w:lineRule="auto"/>
              <w:jc w:val="center"/>
            </w:pPr>
            <w:r>
              <w:rPr>
                <w:rFonts w:ascii="Times New Roman" w:hAnsi="Times New Roman"/>
                <w:b w:val="0"/>
                <w:sz w:val="28"/>
              </w:rPr>
              <w:t>Manual Logbooks</w:t>
            </w:r>
          </w:p>
        </w:tc>
        <w:tc>
          <w:tcPr>
            <w:tcW w:type="dxa" w:w="1938"/>
          </w:tcPr>
          <w:p>
            <w:pPr>
              <w:spacing w:before="60" w:after="60" w:line="360" w:lineRule="auto"/>
              <w:jc w:val="left"/>
            </w:pPr>
            <w:r>
              <w:rPr>
                <w:rFonts w:ascii="Times New Roman" w:hAnsi="Times New Roman"/>
                <w:b w:val="0"/>
                <w:sz w:val="28"/>
              </w:rPr>
              <w:t>65.0%</w:t>
            </w:r>
          </w:p>
        </w:tc>
        <w:tc>
          <w:tcPr>
            <w:tcW w:type="dxa" w:w="1938"/>
          </w:tcPr>
          <w:p>
            <w:pPr>
              <w:spacing w:before="60" w:after="60" w:line="360" w:lineRule="auto"/>
              <w:jc w:val="left"/>
            </w:pPr>
            <w:r>
              <w:rPr>
                <w:rFonts w:ascii="Times New Roman" w:hAnsi="Times New Roman"/>
                <w:b w:val="0"/>
                <w:sz w:val="28"/>
              </w:rPr>
              <w:t>Manual / Subjective</w:t>
            </w:r>
          </w:p>
        </w:tc>
        <w:tc>
          <w:tcPr>
            <w:tcW w:type="dxa" w:w="1938"/>
          </w:tcPr>
          <w:p>
            <w:pPr>
              <w:spacing w:before="60" w:after="60" w:line="360" w:lineRule="auto"/>
              <w:jc w:val="left"/>
            </w:pPr>
            <w:r>
              <w:rPr>
                <w:rFonts w:ascii="Times New Roman" w:hAnsi="Times New Roman"/>
                <w:b w:val="0"/>
                <w:sz w:val="28"/>
              </w:rPr>
              <w:t>Low</w:t>
            </w:r>
          </w:p>
        </w:tc>
        <w:tc>
          <w:tcPr>
            <w:tcW w:type="dxa" w:w="1938"/>
          </w:tcPr>
          <w:p>
            <w:pPr>
              <w:spacing w:before="60" w:after="60" w:line="360" w:lineRule="auto"/>
              <w:jc w:val="left"/>
            </w:pPr>
            <w:r>
              <w:rPr>
                <w:rFonts w:ascii="Times New Roman" w:hAnsi="Times New Roman"/>
                <w:b w:val="0"/>
                <w:sz w:val="28"/>
              </w:rPr>
              <w:t>Human error, severe gate congestion, zero live alerts</w:t>
            </w:r>
          </w:p>
        </w:tc>
      </w:tr>
      <w:tr>
        <w:tc>
          <w:tcPr>
            <w:tcW w:type="dxa" w:w="1938"/>
          </w:tcPr>
          <w:p>
            <w:pPr>
              <w:spacing w:before="60" w:after="60" w:line="360" w:lineRule="auto"/>
              <w:jc w:val="center"/>
            </w:pPr>
            <w:r>
              <w:rPr>
                <w:rFonts w:ascii="Times New Roman" w:hAnsi="Times New Roman"/>
                <w:b w:val="0"/>
                <w:sz w:val="28"/>
              </w:rPr>
              <w:t>RFID Transponders</w:t>
            </w:r>
          </w:p>
        </w:tc>
        <w:tc>
          <w:tcPr>
            <w:tcW w:type="dxa" w:w="1938"/>
          </w:tcPr>
          <w:p>
            <w:pPr>
              <w:spacing w:before="60" w:after="60" w:line="360" w:lineRule="auto"/>
              <w:jc w:val="left"/>
            </w:pPr>
            <w:r>
              <w:rPr>
                <w:rFonts w:ascii="Times New Roman" w:hAnsi="Times New Roman"/>
                <w:b w:val="0"/>
                <w:sz w:val="28"/>
              </w:rPr>
              <w:t>82.0%</w:t>
            </w:r>
          </w:p>
        </w:tc>
        <w:tc>
          <w:tcPr>
            <w:tcW w:type="dxa" w:w="1938"/>
          </w:tcPr>
          <w:p>
            <w:pPr>
              <w:spacing w:before="60" w:after="60" w:line="360" w:lineRule="auto"/>
              <w:jc w:val="left"/>
            </w:pPr>
            <w:r>
              <w:rPr>
                <w:rFonts w:ascii="Times New Roman" w:hAnsi="Times New Roman"/>
                <w:b w:val="0"/>
                <w:sz w:val="28"/>
              </w:rPr>
              <w:t>Not Supported</w:t>
            </w:r>
          </w:p>
        </w:tc>
        <w:tc>
          <w:tcPr>
            <w:tcW w:type="dxa" w:w="1938"/>
          </w:tcPr>
          <w:p>
            <w:pPr>
              <w:spacing w:before="60" w:after="60" w:line="360" w:lineRule="auto"/>
              <w:jc w:val="left"/>
            </w:pPr>
            <w:r>
              <w:rPr>
                <w:rFonts w:ascii="Times New Roman" w:hAnsi="Times New Roman"/>
                <w:b w:val="0"/>
                <w:sz w:val="28"/>
              </w:rPr>
              <w:t>Moderate</w:t>
            </w:r>
          </w:p>
        </w:tc>
        <w:tc>
          <w:tcPr>
            <w:tcW w:type="dxa" w:w="1938"/>
          </w:tcPr>
          <w:p>
            <w:pPr>
              <w:spacing w:before="60" w:after="60" w:line="360" w:lineRule="auto"/>
              <w:jc w:val="left"/>
            </w:pPr>
            <w:r>
              <w:rPr>
                <w:rFonts w:ascii="Times New Roman" w:hAnsi="Times New Roman"/>
                <w:b w:val="0"/>
                <w:sz w:val="28"/>
              </w:rPr>
              <w:t>Tag detachment, card cloning, blind to driver swap</w:t>
            </w:r>
          </w:p>
        </w:tc>
      </w:tr>
      <w:tr>
        <w:tc>
          <w:tcPr>
            <w:tcW w:type="dxa" w:w="1938"/>
          </w:tcPr>
          <w:p>
            <w:pPr>
              <w:spacing w:before="60" w:after="60" w:line="360" w:lineRule="auto"/>
              <w:jc w:val="center"/>
            </w:pPr>
            <w:r>
              <w:rPr>
                <w:rFonts w:ascii="Times New Roman" w:hAnsi="Times New Roman"/>
                <w:b w:val="0"/>
                <w:sz w:val="28"/>
              </w:rPr>
              <w:t>GPS Trackers</w:t>
            </w:r>
          </w:p>
        </w:tc>
        <w:tc>
          <w:tcPr>
            <w:tcW w:type="dxa" w:w="1938"/>
          </w:tcPr>
          <w:p>
            <w:pPr>
              <w:spacing w:before="60" w:after="60" w:line="360" w:lineRule="auto"/>
              <w:jc w:val="left"/>
            </w:pPr>
            <w:r>
              <w:rPr>
                <w:rFonts w:ascii="Times New Roman" w:hAnsi="Times New Roman"/>
                <w:b w:val="0"/>
                <w:sz w:val="28"/>
              </w:rPr>
              <w:t>88.5%</w:t>
            </w:r>
          </w:p>
        </w:tc>
        <w:tc>
          <w:tcPr>
            <w:tcW w:type="dxa" w:w="1938"/>
          </w:tcPr>
          <w:p>
            <w:pPr>
              <w:spacing w:before="60" w:after="60" w:line="360" w:lineRule="auto"/>
              <w:jc w:val="left"/>
            </w:pPr>
            <w:r>
              <w:rPr>
                <w:rFonts w:ascii="Times New Roman" w:hAnsi="Times New Roman"/>
                <w:b w:val="0"/>
                <w:sz w:val="28"/>
              </w:rPr>
              <w:t>Not Supported</w:t>
            </w:r>
          </w:p>
        </w:tc>
        <w:tc>
          <w:tcPr>
            <w:tcW w:type="dxa" w:w="1938"/>
          </w:tcPr>
          <w:p>
            <w:pPr>
              <w:spacing w:before="60" w:after="60" w:line="360" w:lineRule="auto"/>
              <w:jc w:val="left"/>
            </w:pPr>
            <w:r>
              <w:rPr>
                <w:rFonts w:ascii="Times New Roman" w:hAnsi="Times New Roman"/>
                <w:b w:val="0"/>
                <w:sz w:val="28"/>
              </w:rPr>
              <w:t>High</w:t>
            </w:r>
          </w:p>
        </w:tc>
        <w:tc>
          <w:tcPr>
            <w:tcW w:type="dxa" w:w="1938"/>
          </w:tcPr>
          <w:p>
            <w:pPr>
              <w:spacing w:before="60" w:after="60" w:line="360" w:lineRule="auto"/>
              <w:jc w:val="left"/>
            </w:pPr>
            <w:r>
              <w:rPr>
                <w:rFonts w:ascii="Times New Roman" w:hAnsi="Times New Roman"/>
                <w:b w:val="0"/>
                <w:sz w:val="28"/>
              </w:rPr>
              <w:t>Cellular subscription costs, hardware tampering risks</w:t>
            </w:r>
          </w:p>
        </w:tc>
      </w:tr>
      <w:tr>
        <w:tc>
          <w:tcPr>
            <w:tcW w:type="dxa" w:w="1938"/>
          </w:tcPr>
          <w:p>
            <w:pPr>
              <w:spacing w:before="60" w:after="60" w:line="360" w:lineRule="auto"/>
              <w:jc w:val="center"/>
            </w:pPr>
            <w:r>
              <w:rPr>
                <w:rFonts w:ascii="Times New Roman" w:hAnsi="Times New Roman"/>
                <w:b w:val="0"/>
                <w:sz w:val="28"/>
              </w:rPr>
              <w:t>Standalone ANPR</w:t>
            </w:r>
          </w:p>
        </w:tc>
        <w:tc>
          <w:tcPr>
            <w:tcW w:type="dxa" w:w="1938"/>
          </w:tcPr>
          <w:p>
            <w:pPr>
              <w:spacing w:before="60" w:after="60" w:line="360" w:lineRule="auto"/>
              <w:jc w:val="left"/>
            </w:pPr>
            <w:r>
              <w:rPr>
                <w:rFonts w:ascii="Times New Roman" w:hAnsi="Times New Roman"/>
                <w:b w:val="0"/>
                <w:sz w:val="28"/>
              </w:rPr>
              <w:t>89.0%</w:t>
            </w:r>
          </w:p>
        </w:tc>
        <w:tc>
          <w:tcPr>
            <w:tcW w:type="dxa" w:w="1938"/>
          </w:tcPr>
          <w:p>
            <w:pPr>
              <w:spacing w:before="60" w:after="60" w:line="360" w:lineRule="auto"/>
              <w:jc w:val="left"/>
            </w:pPr>
            <w:r>
              <w:rPr>
                <w:rFonts w:ascii="Times New Roman" w:hAnsi="Times New Roman"/>
                <w:b w:val="0"/>
                <w:sz w:val="28"/>
              </w:rPr>
              <w:t>Not Supported</w:t>
            </w:r>
          </w:p>
        </w:tc>
        <w:tc>
          <w:tcPr>
            <w:tcW w:type="dxa" w:w="1938"/>
          </w:tcPr>
          <w:p>
            <w:pPr>
              <w:spacing w:before="60" w:after="60" w:line="360" w:lineRule="auto"/>
              <w:jc w:val="left"/>
            </w:pPr>
            <w:r>
              <w:rPr>
                <w:rFonts w:ascii="Times New Roman" w:hAnsi="Times New Roman"/>
                <w:b w:val="0"/>
                <w:sz w:val="28"/>
              </w:rPr>
              <w:t>Moderate</w:t>
            </w:r>
          </w:p>
        </w:tc>
        <w:tc>
          <w:tcPr>
            <w:tcW w:type="dxa" w:w="1938"/>
          </w:tcPr>
          <w:p>
            <w:pPr>
              <w:spacing w:before="60" w:after="60" w:line="360" w:lineRule="auto"/>
              <w:jc w:val="left"/>
            </w:pPr>
            <w:r>
              <w:rPr>
                <w:rFonts w:ascii="Times New Roman" w:hAnsi="Times New Roman"/>
                <w:b w:val="0"/>
                <w:sz w:val="28"/>
              </w:rPr>
              <w:t>No driver fatigue or safety checks, no student ETA</w:t>
            </w:r>
          </w:p>
        </w:tc>
      </w:tr>
      <w:tr>
        <w:tc>
          <w:tcPr>
            <w:tcW w:type="dxa" w:w="1938"/>
          </w:tcPr>
          <w:p>
            <w:pPr>
              <w:spacing w:before="60" w:after="60" w:line="360" w:lineRule="auto"/>
              <w:jc w:val="center"/>
            </w:pPr>
            <w:r>
              <w:rPr>
                <w:rFonts w:ascii="Times New Roman" w:hAnsi="Times New Roman"/>
                <w:b w:val="0"/>
                <w:sz w:val="28"/>
              </w:rPr>
              <w:t>PULSE PLATE (Proposed)</w:t>
            </w:r>
          </w:p>
        </w:tc>
        <w:tc>
          <w:tcPr>
            <w:tcW w:type="dxa" w:w="1938"/>
          </w:tcPr>
          <w:p>
            <w:pPr>
              <w:spacing w:before="60" w:after="60" w:line="360" w:lineRule="auto"/>
              <w:jc w:val="left"/>
            </w:pPr>
            <w:r>
              <w:rPr>
                <w:rFonts w:ascii="Times New Roman" w:hAnsi="Times New Roman"/>
                <w:b w:val="0"/>
                <w:sz w:val="28"/>
              </w:rPr>
              <w:t>98.4%</w:t>
            </w:r>
          </w:p>
        </w:tc>
        <w:tc>
          <w:tcPr>
            <w:tcW w:type="dxa" w:w="1938"/>
          </w:tcPr>
          <w:p>
            <w:pPr>
              <w:spacing w:before="60" w:after="60" w:line="360" w:lineRule="auto"/>
              <w:jc w:val="left"/>
            </w:pPr>
            <w:r>
              <w:rPr>
                <w:rFonts w:ascii="Times New Roman" w:hAnsi="Times New Roman"/>
                <w:b w:val="0"/>
                <w:sz w:val="28"/>
              </w:rPr>
              <w:t>Automated AI Verification</w:t>
            </w:r>
          </w:p>
        </w:tc>
        <w:tc>
          <w:tcPr>
            <w:tcW w:type="dxa" w:w="1938"/>
          </w:tcPr>
          <w:p>
            <w:pPr>
              <w:spacing w:before="60" w:after="60" w:line="360" w:lineRule="auto"/>
              <w:jc w:val="left"/>
            </w:pPr>
            <w:r>
              <w:rPr>
                <w:rFonts w:ascii="Times New Roman" w:hAnsi="Times New Roman"/>
                <w:b w:val="0"/>
                <w:sz w:val="28"/>
              </w:rPr>
              <w:t>Low</w:t>
            </w:r>
          </w:p>
        </w:tc>
        <w:tc>
          <w:tcPr>
            <w:tcW w:type="dxa" w:w="1938"/>
          </w:tcPr>
          <w:p>
            <w:pPr>
              <w:spacing w:before="60" w:after="60" w:line="360" w:lineRule="auto"/>
              <w:jc w:val="left"/>
            </w:pPr>
            <w:r>
              <w:rPr>
                <w:rFonts w:ascii="Times New Roman" w:hAnsi="Times New Roman"/>
                <w:b w:val="0"/>
                <w:sz w:val="28"/>
              </w:rPr>
              <w:t>Optimal accuracy, integrated safety and dual portals</w:t>
            </w:r>
          </w:p>
        </w:tc>
      </w:tr>
    </w:tbl>
    <w:p>
      <w:pPr>
        <w:spacing w:before="80" w:after="120" w:line="360" w:lineRule="auto"/>
      </w:pPr>
    </w:p>
    <w:p>
      <w:pPr>
        <w:spacing w:before="120" w:after="120" w:line="360" w:lineRule="auto"/>
        <w:jc w:val="left"/>
      </w:pPr>
      <w:r>
        <w:rPr>
          <w:rFonts w:ascii="Times New Roman" w:hAnsi="Times New Roman"/>
          <w:b/>
          <w:sz w:val="28"/>
        </w:rPr>
        <w:t>2.3 LIMITATIONS, ADVANTAGES AND DISADVANTAGES OF PRIOR ART</w:t>
      </w:r>
    </w:p>
    <w:p>
      <w:pPr>
        <w:spacing w:before="0" w:after="120" w:line="360" w:lineRule="auto"/>
        <w:ind w:firstLine="567"/>
        <w:jc w:val="both"/>
      </w:pPr>
      <w:r>
        <w:rPr>
          <w:rFonts w:ascii="Times New Roman" w:hAnsi="Times New Roman"/>
          <w:sz w:val="28"/>
        </w:rPr>
        <w:t>A critical limitation observed across published literature is the architectural fragmentation between vehicle identification systems and institutional communications. Commercial fleet management solutions operate in isolated silos, requiring human transport managers to manually relay bus departures to students via messaging groups. This induces significant communication latency and frequent scheduling inaccuracies.</w:t>
      </w:r>
    </w:p>
    <w:p>
      <w:pPr>
        <w:spacing w:before="120" w:after="120" w:line="360" w:lineRule="auto"/>
        <w:jc w:val="left"/>
      </w:pPr>
      <w:r>
        <w:rPr>
          <w:rFonts w:ascii="Times New Roman" w:hAnsi="Times New Roman"/>
          <w:b w:val="0"/>
          <w:sz w:val="28"/>
        </w:rPr>
        <w:t>2.3.1 Summary of Literature Gaps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Absence of unified edge architectures combining simultaneous vehicle license plate reading and driver biometric authentication.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Inability of existing institutional transit platforms to enforce automated punctuality scoring and digital gate pass approvals.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Lack of lightweight student-facing tracking portals that provide accurate campus presence status without requiring expensive individual GPS transponders.</w:t>
      </w:r>
    </w:p>
    <w:p>
      <w:pPr>
        <w:spacing w:before="120" w:after="120" w:line="360" w:lineRule="auto"/>
        <w:jc w:val="left"/>
      </w:pPr>
      <w:r>
        <w:rPr>
          <w:rFonts w:ascii="Times New Roman" w:hAnsi="Times New Roman"/>
          <w:b/>
          <w:sz w:val="28"/>
        </w:rPr>
        <w:t>2.4 CHAPTER SUMMARY</w:t>
      </w:r>
    </w:p>
    <w:p>
      <w:pPr>
        <w:spacing w:before="0" w:after="120" w:line="360" w:lineRule="auto"/>
        <w:ind w:firstLine="567"/>
        <w:jc w:val="both"/>
      </w:pPr>
      <w:r>
        <w:rPr>
          <w:rFonts w:ascii="Times New Roman" w:hAnsi="Times New Roman"/>
          <w:sz w:val="28"/>
        </w:rPr>
        <w:t>This chapter comprehensively reviewed the technological progression of vehicle identification systems from manual logging and RFID transponders to deep learning-driven ANPR pipelines. The comparative analysis demonstrated the clear superiority of multi-modal edge AI over legacy single-factor monitoring systems. The identified literature gaps form the foundational rationale for the proposed PULSE PLATE methodology detailed in the subsequent chapter.</w:t>
      </w:r>
    </w:p>
    <w:sectPr w:rsidR="00FC693F" w:rsidRPr="0006063C" w:rsidSect="00034616">
      <w:head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olor w:val="000000"/>
        <w:sz w:val="28"/>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