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b/>
          <w:sz w:val="28"/>
        </w:rPr>
        <w:t>CHAPTER 5</w:t>
      </w:r>
    </w:p>
    <w:p>
      <w:pPr>
        <w:spacing w:before="0" w:after="0" w:line="360" w:lineRule="auto"/>
        <w:jc w:val="center"/>
      </w:pPr>
      <w:r>
        <w:rPr>
          <w:rFonts w:ascii="Times New Roman" w:hAnsi="Times New Roman"/>
          <w:b/>
          <w:sz w:val="28"/>
        </w:rPr>
        <w:t>CONCLUSION AND FUTURE WORK</w:t>
      </w:r>
    </w:p>
    <w:p>
      <w:pPr>
        <w:spacing w:before="0" w:after="120" w:line="360" w:lineRule="auto"/>
      </w:pPr>
    </w:p>
    <w:p>
      <w:pPr>
        <w:spacing w:before="120" w:after="120" w:line="360" w:lineRule="auto"/>
        <w:jc w:val="left"/>
      </w:pPr>
      <w:r>
        <w:rPr>
          <w:rFonts w:ascii="Times New Roman" w:hAnsi="Times New Roman"/>
          <w:b/>
          <w:sz w:val="28"/>
        </w:rPr>
        <w:t>5.1 CONCLUSION</w:t>
      </w:r>
    </w:p>
    <w:p>
      <w:pPr>
        <w:spacing w:before="0" w:after="120" w:line="360" w:lineRule="auto"/>
        <w:ind w:firstLine="567"/>
        <w:jc w:val="both"/>
      </w:pPr>
      <w:r>
        <w:rPr>
          <w:rFonts w:ascii="Times New Roman" w:hAnsi="Times New Roman"/>
          <w:sz w:val="28"/>
        </w:rPr>
        <w:t>The development and deployment of PULSE PLATE successfully addresses the chronic operational inefficiencies, security vulnerabilities, and communication gaps inherent in conventional institutional transportation management. By leveraging cutting-edge computer vision, edge AI acceleration, and responsive dual-portal web architectures, the system establishes a fully autonomous, transparent, and secure vehicle monitoring framework for educational campuses.</w:t>
      </w:r>
    </w:p>
    <w:p>
      <w:pPr>
        <w:spacing w:before="0" w:after="120" w:line="360" w:lineRule="auto"/>
        <w:ind w:firstLine="567"/>
        <w:jc w:val="both"/>
      </w:pPr>
      <w:r>
        <w:rPr>
          <w:rFonts w:ascii="Times New Roman" w:hAnsi="Times New Roman"/>
          <w:sz w:val="28"/>
        </w:rPr>
        <w:t>Key engineering milestones achieved in this project include instantaneous license plate identification with 99.2% accuracy, automated driver identity verification, proactive driver drowsiness and seat belt safety monitoring, and synchronized digital attendance logging. The role-based administrative portal empowers administrative officers with seamless gate pass approval controls, while the student application provides live bus availability status and reliable departure notifications, significantly elevating campus safety and transit satisfaction.</w:t>
      </w:r>
    </w:p>
    <w:p>
      <w:pPr>
        <w:spacing w:before="120" w:after="80" w:line="360" w:lineRule="auto"/>
        <w:jc w:val="center"/>
      </w:pPr>
      <w:r>
        <w:drawing>
          <wp:inline xmlns:a="http://schemas.openxmlformats.org/drawingml/2006/main" xmlns:pic="http://schemas.openxmlformats.org/drawingml/2006/picture">
            <wp:extent cx="5400000" cy="2945455"/>
            <wp:docPr id="1" name="Picture 1"/>
            <wp:cNvGraphicFramePr>
              <a:graphicFrameLocks noChangeAspect="1"/>
            </wp:cNvGraphicFramePr>
            <a:graphic>
              <a:graphicData uri="http://schemas.openxmlformats.org/drawingml/2006/picture">
                <pic:pic>
                  <pic:nvPicPr>
                    <pic:cNvPr id="0" name="figure_5_1.png"/>
                    <pic:cNvPicPr/>
                  </pic:nvPicPr>
                  <pic:blipFill>
                    <a:blip r:embed="rId10"/>
                    <a:stretch>
                      <a:fillRect/>
                    </a:stretch>
                  </pic:blipFill>
                  <pic:spPr>
                    <a:xfrm>
                      <a:off x="0" y="0"/>
                      <a:ext cx="5400000" cy="2945455"/>
                    </a:xfrm>
                    <a:prstGeom prst="rect"/>
                  </pic:spPr>
                </pic:pic>
              </a:graphicData>
            </a:graphic>
          </wp:inline>
        </w:drawing>
      </w:r>
    </w:p>
    <w:p>
      <w:pPr>
        <w:spacing w:before="40" w:after="200" w:line="360" w:lineRule="auto"/>
        <w:jc w:val="center"/>
      </w:pPr>
      <w:r>
        <w:rPr>
          <w:rFonts w:ascii="Times New Roman" w:hAnsi="Times New Roman"/>
          <w:b/>
          <w:sz w:val="28"/>
        </w:rPr>
        <w:t xml:space="preserve">Figure 5.1 </w:t>
      </w:r>
      <w:r>
        <w:rPr>
          <w:rFonts w:ascii="Times New Roman" w:hAnsi="Times New Roman"/>
          <w:b w:val="0"/>
          <w:sz w:val="28"/>
        </w:rPr>
        <w:t>Scalability Roadmap and Future Expansion Phases</w:t>
      </w:r>
    </w:p>
    <w:p>
      <w:pPr>
        <w:spacing w:before="120" w:after="120" w:line="360" w:lineRule="auto"/>
        <w:jc w:val="left"/>
      </w:pPr>
      <w:r>
        <w:rPr>
          <w:rFonts w:ascii="Times New Roman" w:hAnsi="Times New Roman"/>
          <w:b/>
          <w:sz w:val="28"/>
        </w:rPr>
        <w:t>5.2 FUTURE ENHANCEMENTS AND RESEARCH DIRECTIONS</w:t>
      </w:r>
    </w:p>
    <w:p>
      <w:pPr>
        <w:spacing w:before="0" w:after="120" w:line="360" w:lineRule="auto"/>
        <w:ind w:firstLine="567"/>
        <w:jc w:val="both"/>
      </w:pPr>
      <w:r>
        <w:rPr>
          <w:rFonts w:ascii="Times New Roman" w:hAnsi="Times New Roman"/>
          <w:sz w:val="28"/>
        </w:rPr>
        <w:t>While the current system demonstrates high operational reliability, several compelling technological avenues exist for future enhancement as illustrated in Figure 5.1. The subsequent phases will focus on expanding the system from single-gate educational deployments to integrated city-scale intelligent transportation ecosystems.</w:t>
      </w:r>
    </w:p>
    <w:p>
      <w:pPr>
        <w:spacing w:before="120" w:after="120" w:line="360" w:lineRule="auto"/>
        <w:jc w:val="left"/>
      </w:pPr>
      <w:r>
        <w:rPr>
          <w:rFonts w:ascii="Times New Roman" w:hAnsi="Times New Roman"/>
          <w:b w:val="0"/>
          <w:sz w:val="28"/>
        </w:rPr>
        <w:t>5.2.1 Advanced Machine Learning and Telemetry Integration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Integration of live GPS telemetry and edge OBD-II diagnostics to monitor real-time vehicle fuel consumption, engine health, and dynamic route traffic delays.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Implementation of graph neural network (GNN) predictive models for dynamic arrival time estimation factoring in live Coimbatore municipal traffic feeds.</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Integration with automated hydraulic barrier gates to enable completely frictionless physical vehicle access upon positive AI verification.</w:t>
      </w:r>
    </w:p>
    <w:p>
      <w:pPr>
        <w:spacing w:before="0" w:after="120" w:line="360" w:lineRule="auto"/>
        <w:ind w:left="1134" w:hanging="567"/>
        <w:jc w:val="left"/>
      </w:pPr>
      <w:r>
        <w:rPr>
          <w:rFonts w:ascii="Times New Roman" w:hAnsi="Times New Roman"/>
          <w:b/>
          <w:sz w:val="28"/>
        </w:rPr>
        <w:t>•</w:t>
        <w:tab/>
      </w:r>
      <w:r>
        <w:rPr>
          <w:rFonts w:ascii="Times New Roman" w:hAnsi="Times New Roman"/>
          <w:sz w:val="28"/>
        </w:rPr>
        <w:t>Deployment of federated learning protocols across multiple institutional campuses to collaboratively train ANPR models while preserving driver biometric privacy.</w:t>
      </w:r>
    </w:p>
    <w:p>
      <w:pPr>
        <w:spacing w:before="160" w:after="80" w:line="360" w:lineRule="auto"/>
        <w:jc w:val="center"/>
      </w:pPr>
      <w:r>
        <w:rPr>
          <w:rFonts w:ascii="Times New Roman" w:hAnsi="Times New Roman"/>
          <w:b/>
          <w:sz w:val="28"/>
        </w:rPr>
        <w:t xml:space="preserve">Table 5.1 </w:t>
      </w:r>
      <w:r>
        <w:rPr>
          <w:rFonts w:ascii="Times New Roman" w:hAnsi="Times New Roman"/>
          <w:b w:val="0"/>
          <w:sz w:val="28"/>
        </w:rPr>
        <w:t>Future Technology Scaling Phases and Deployment Objectives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left w:val="none"/>
          <w:right w:val="none"/>
          <w:insideV w:val="none"/>
        </w:tblBorders>
      </w:tblPr>
      <w:tblGrid>
        <w:gridCol w:w="2422"/>
        <w:gridCol w:w="2422"/>
        <w:gridCol w:w="2422"/>
        <w:gridCol w:w="2422"/>
      </w:tblGrid>
      <w:tr>
        <w:tc>
          <w:tcPr>
            <w:tcW w:type="dxa" w:w="2422"/>
          </w:tcPr>
          <w:p>
            <w:pPr>
              <w:spacing w:before="60" w:after="60" w:line="360" w:lineRule="auto"/>
              <w:jc w:val="center"/>
            </w:pPr>
            <w:r>
              <w:rPr>
                <w:rFonts w:ascii="Times New Roman" w:hAnsi="Times New Roman"/>
                <w:b/>
                <w:sz w:val="28"/>
              </w:rPr>
              <w:t>Phase</w:t>
            </w:r>
          </w:p>
        </w:tc>
        <w:tc>
          <w:tcPr>
            <w:tcW w:type="dxa" w:w="2422"/>
          </w:tcPr>
          <w:p>
            <w:pPr>
              <w:spacing w:before="60" w:after="60" w:line="360" w:lineRule="auto"/>
              <w:jc w:val="center"/>
            </w:pPr>
            <w:r>
              <w:rPr>
                <w:rFonts w:ascii="Times New Roman" w:hAnsi="Times New Roman"/>
                <w:b/>
                <w:sz w:val="28"/>
              </w:rPr>
              <w:t>Target Timeline</w:t>
            </w:r>
          </w:p>
        </w:tc>
        <w:tc>
          <w:tcPr>
            <w:tcW w:type="dxa" w:w="2422"/>
          </w:tcPr>
          <w:p>
            <w:pPr>
              <w:spacing w:before="60" w:after="60" w:line="360" w:lineRule="auto"/>
              <w:jc w:val="center"/>
            </w:pPr>
            <w:r>
              <w:rPr>
                <w:rFonts w:ascii="Times New Roman" w:hAnsi="Times New Roman"/>
                <w:b/>
                <w:sz w:val="28"/>
              </w:rPr>
              <w:t>Core Technology Addition</w:t>
            </w:r>
          </w:p>
        </w:tc>
        <w:tc>
          <w:tcPr>
            <w:tcW w:type="dxa" w:w="2422"/>
          </w:tcPr>
          <w:p>
            <w:pPr>
              <w:spacing w:before="60" w:after="60" w:line="360" w:lineRule="auto"/>
              <w:jc w:val="center"/>
            </w:pPr>
            <w:r>
              <w:rPr>
                <w:rFonts w:ascii="Times New Roman" w:hAnsi="Times New Roman"/>
                <w:b/>
                <w:sz w:val="28"/>
              </w:rPr>
              <w:t>Expected Impact</w:t>
            </w:r>
          </w:p>
        </w:tc>
      </w:tr>
      <w:tr>
        <w:tc>
          <w:tcPr>
            <w:tcW w:type="dxa" w:w="2422"/>
          </w:tcPr>
          <w:p>
            <w:pPr>
              <w:spacing w:before="60" w:after="60" w:line="360" w:lineRule="auto"/>
              <w:jc w:val="center"/>
            </w:pPr>
            <w:r>
              <w:rPr>
                <w:rFonts w:ascii="Times New Roman" w:hAnsi="Times New Roman"/>
                <w:b w:val="0"/>
                <w:sz w:val="28"/>
              </w:rPr>
              <w:t>Phase 1 (Current)</w:t>
            </w:r>
          </w:p>
        </w:tc>
        <w:tc>
          <w:tcPr>
            <w:tcW w:type="dxa" w:w="2422"/>
          </w:tcPr>
          <w:p>
            <w:pPr>
              <w:spacing w:before="60" w:after="60" w:line="360" w:lineRule="auto"/>
              <w:jc w:val="left"/>
            </w:pPr>
            <w:r>
              <w:rPr>
                <w:rFonts w:ascii="Times New Roman" w:hAnsi="Times New Roman"/>
                <w:b w:val="0"/>
                <w:sz w:val="28"/>
              </w:rPr>
              <w:t>Semester 1</w:t>
            </w:r>
          </w:p>
        </w:tc>
        <w:tc>
          <w:tcPr>
            <w:tcW w:type="dxa" w:w="2422"/>
          </w:tcPr>
          <w:p>
            <w:pPr>
              <w:spacing w:before="60" w:after="60" w:line="360" w:lineRule="auto"/>
              <w:jc w:val="left"/>
            </w:pPr>
            <w:r>
              <w:rPr>
                <w:rFonts w:ascii="Times New Roman" w:hAnsi="Times New Roman"/>
                <w:b w:val="0"/>
                <w:sz w:val="28"/>
              </w:rPr>
              <w:t>Single Gate Edge ANPR + Web Portals</w:t>
            </w:r>
          </w:p>
        </w:tc>
        <w:tc>
          <w:tcPr>
            <w:tcW w:type="dxa" w:w="2422"/>
          </w:tcPr>
          <w:p>
            <w:pPr>
              <w:spacing w:before="60" w:after="60" w:line="360" w:lineRule="auto"/>
              <w:jc w:val="left"/>
            </w:pPr>
            <w:r>
              <w:rPr>
                <w:rFonts w:ascii="Times New Roman" w:hAnsi="Times New Roman"/>
                <w:b w:val="0"/>
                <w:sz w:val="28"/>
              </w:rPr>
              <w:t>Complete attendance automation</w:t>
            </w:r>
          </w:p>
        </w:tc>
      </w:tr>
      <w:tr>
        <w:tc>
          <w:tcPr>
            <w:tcW w:type="dxa" w:w="2422"/>
          </w:tcPr>
          <w:p>
            <w:pPr>
              <w:spacing w:before="60" w:after="60" w:line="360" w:lineRule="auto"/>
              <w:jc w:val="center"/>
            </w:pPr>
            <w:r>
              <w:rPr>
                <w:rFonts w:ascii="Times New Roman" w:hAnsi="Times New Roman"/>
                <w:b w:val="0"/>
                <w:sz w:val="28"/>
              </w:rPr>
              <w:t>Phase 2 (Near-term)</w:t>
            </w:r>
          </w:p>
        </w:tc>
        <w:tc>
          <w:tcPr>
            <w:tcW w:type="dxa" w:w="2422"/>
          </w:tcPr>
          <w:p>
            <w:pPr>
              <w:spacing w:before="60" w:after="60" w:line="360" w:lineRule="auto"/>
              <w:jc w:val="left"/>
            </w:pPr>
            <w:r>
              <w:rPr>
                <w:rFonts w:ascii="Times New Roman" w:hAnsi="Times New Roman"/>
                <w:b w:val="0"/>
                <w:sz w:val="28"/>
              </w:rPr>
              <w:t>Semester 2</w:t>
            </w:r>
          </w:p>
        </w:tc>
        <w:tc>
          <w:tcPr>
            <w:tcW w:type="dxa" w:w="2422"/>
          </w:tcPr>
          <w:p>
            <w:pPr>
              <w:spacing w:before="60" w:after="60" w:line="360" w:lineRule="auto"/>
              <w:jc w:val="left"/>
            </w:pPr>
            <w:r>
              <w:rPr>
                <w:rFonts w:ascii="Times New Roman" w:hAnsi="Times New Roman"/>
                <w:b w:val="0"/>
                <w:sz w:val="28"/>
              </w:rPr>
              <w:t>Automated Barrier Gate + GPS Telemetry</w:t>
            </w:r>
          </w:p>
        </w:tc>
        <w:tc>
          <w:tcPr>
            <w:tcW w:type="dxa" w:w="2422"/>
          </w:tcPr>
          <w:p>
            <w:pPr>
              <w:spacing w:before="60" w:after="60" w:line="360" w:lineRule="auto"/>
              <w:jc w:val="left"/>
            </w:pPr>
            <w:r>
              <w:rPr>
                <w:rFonts w:ascii="Times New Roman" w:hAnsi="Times New Roman"/>
                <w:b w:val="0"/>
                <w:sz w:val="28"/>
              </w:rPr>
              <w:t>Frictionless ingress and live ETA</w:t>
            </w:r>
          </w:p>
        </w:tc>
      </w:tr>
      <w:tr>
        <w:tc>
          <w:tcPr>
            <w:tcW w:type="dxa" w:w="2422"/>
          </w:tcPr>
          <w:p>
            <w:pPr>
              <w:spacing w:before="60" w:after="60" w:line="360" w:lineRule="auto"/>
              <w:jc w:val="center"/>
            </w:pPr>
            <w:r>
              <w:rPr>
                <w:rFonts w:ascii="Times New Roman" w:hAnsi="Times New Roman"/>
                <w:b w:val="0"/>
                <w:sz w:val="28"/>
              </w:rPr>
              <w:t>Phase 3 (Long-term)</w:t>
            </w:r>
          </w:p>
        </w:tc>
        <w:tc>
          <w:tcPr>
            <w:tcW w:type="dxa" w:w="2422"/>
          </w:tcPr>
          <w:p>
            <w:pPr>
              <w:spacing w:before="60" w:after="60" w:line="360" w:lineRule="auto"/>
              <w:jc w:val="left"/>
            </w:pPr>
            <w:r>
              <w:rPr>
                <w:rFonts w:ascii="Times New Roman" w:hAnsi="Times New Roman"/>
                <w:b w:val="0"/>
                <w:sz w:val="28"/>
              </w:rPr>
              <w:t>Year 2</w:t>
            </w:r>
          </w:p>
        </w:tc>
        <w:tc>
          <w:tcPr>
            <w:tcW w:type="dxa" w:w="2422"/>
          </w:tcPr>
          <w:p>
            <w:pPr>
              <w:spacing w:before="60" w:after="60" w:line="360" w:lineRule="auto"/>
              <w:jc w:val="left"/>
            </w:pPr>
            <w:r>
              <w:rPr>
                <w:rFonts w:ascii="Times New Roman" w:hAnsi="Times New Roman"/>
                <w:b w:val="0"/>
                <w:sz w:val="28"/>
              </w:rPr>
              <w:t>Smart City Traffic API + Federated AI</w:t>
            </w:r>
          </w:p>
        </w:tc>
        <w:tc>
          <w:tcPr>
            <w:tcW w:type="dxa" w:w="2422"/>
          </w:tcPr>
          <w:p>
            <w:pPr>
              <w:spacing w:before="60" w:after="60" w:line="360" w:lineRule="auto"/>
              <w:jc w:val="left"/>
            </w:pPr>
            <w:r>
              <w:rPr>
                <w:rFonts w:ascii="Times New Roman" w:hAnsi="Times New Roman"/>
                <w:b w:val="0"/>
                <w:sz w:val="28"/>
              </w:rPr>
              <w:t>City-wide municipal transport sync</w:t>
            </w:r>
          </w:p>
        </w:tc>
      </w:tr>
    </w:tbl>
    <w:p>
      <w:pPr>
        <w:spacing w:before="80" w:after="120" w:line="360" w:lineRule="auto"/>
      </w:pPr>
    </w:p>
    <w:p>
      <w:pPr>
        <w:spacing w:before="120" w:after="120" w:line="360" w:lineRule="auto"/>
        <w:jc w:val="left"/>
      </w:pPr>
      <w:r>
        <w:rPr>
          <w:rFonts w:ascii="Times New Roman" w:hAnsi="Times New Roman"/>
          <w:b/>
          <w:sz w:val="28"/>
        </w:rPr>
        <w:t>5.3 FINAL REMARKS</w:t>
      </w:r>
    </w:p>
    <w:p>
      <w:pPr>
        <w:spacing w:before="0" w:after="120" w:line="360" w:lineRule="auto"/>
        <w:ind w:firstLine="567"/>
        <w:jc w:val="both"/>
      </w:pPr>
      <w:r>
        <w:rPr>
          <w:rFonts w:ascii="Times New Roman" w:hAnsi="Times New Roman"/>
          <w:sz w:val="28"/>
        </w:rPr>
        <w:t>In conclusion, PULSE PLATE represents a transformative leap in smart institutional mobility. By replacing vulnerable manual logging with resilient edge artificial intelligence, the system delivers an economical, highly scalable, and safety-centric solution that sets a benchmark for modern smart campus transportation infrastructure.</w:t>
      </w:r>
    </w:p>
    <w:sectPr w:rsidR="00FC693F" w:rsidRPr="0006063C" w:rsidSect="00034616">
      <w:head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color w:val="000000"/>
        <w:sz w:val="28"/>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