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Assumptions: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t1/Tbus: The bus route that covers most of the area is assumed to be the bus route that represents each area.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 t1 and Tbus calculations, the range around the station that is feasible for people to live in and travel to these stations was found by inspection.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Assume that most users are going to Sydney CBD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Peak time is 6-10am and 3-7pm on weekdays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headway is assumed to be the average time gap between buses/trains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transport follows CCN times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Residential buildings are readily available and able to adjust to the shift in population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Stations in the same SA2 region are considered together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Since the fast rail has no effect on train times between Hornsby and Epping, Mt Kuring-gai, Asquith and Epping to Strathfield - t1, t2, Tbus and Ttrain will not change after the fast rail is implemented. So we assume there is no increase in population as a result of the fast rail for these stations.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 t2 and Ttrain calculations, we calculated the headway from 6am onwards to the end of the timetable. We assume that few people take the trains at earlier times than this.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