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039B" w14:textId="77777777" w:rsidR="00167833" w:rsidRDefault="00167833"/>
    <w:p w14:paraId="479D47A8" w14:textId="23ABB3BE" w:rsidR="007B654A" w:rsidRPr="000C0EBC" w:rsidRDefault="007B654A">
      <w:pPr>
        <w:spacing w:after="160"/>
        <w:jc w:val="center"/>
        <w:rPr>
          <w:b/>
          <w:color w:val="C0504D" w:themeColor="accent2"/>
          <w:sz w:val="32"/>
        </w:rPr>
      </w:pPr>
      <w:r w:rsidRPr="000C0EBC">
        <w:rPr>
          <w:b/>
          <w:color w:val="C0504D" w:themeColor="accent2"/>
          <w:sz w:val="32"/>
        </w:rPr>
        <w:t>CO</w:t>
      </w:r>
      <w:r w:rsidR="000C0EBC" w:rsidRPr="000C0EBC">
        <w:rPr>
          <w:b/>
          <w:color w:val="C0504D" w:themeColor="accent2"/>
          <w:sz w:val="32"/>
        </w:rPr>
        <w:t>-</w:t>
      </w:r>
      <w:proofErr w:type="gramStart"/>
      <w:r w:rsidR="000C0EBC" w:rsidRPr="000C0EBC">
        <w:rPr>
          <w:b/>
          <w:color w:val="C0504D" w:themeColor="accent2"/>
          <w:sz w:val="32"/>
        </w:rPr>
        <w:t>2  AT</w:t>
      </w:r>
      <w:proofErr w:type="gramEnd"/>
      <w:r w:rsidR="000C0EBC" w:rsidRPr="000C0EBC">
        <w:rPr>
          <w:b/>
          <w:color w:val="C0504D" w:themeColor="accent2"/>
          <w:sz w:val="32"/>
        </w:rPr>
        <w:t>-1</w:t>
      </w:r>
    </w:p>
    <w:p w14:paraId="5B5737BC" w14:textId="2EF9FE4B" w:rsidR="00167833" w:rsidRDefault="004110D3">
      <w:pPr>
        <w:spacing w:after="160"/>
        <w:jc w:val="center"/>
        <w:rPr>
          <w:b/>
          <w:sz w:val="32"/>
        </w:rPr>
      </w:pPr>
      <w:r>
        <w:rPr>
          <w:b/>
          <w:sz w:val="32"/>
        </w:rPr>
        <w:t>SOFTWARE REQUIREMENT SPECIFICATION</w:t>
      </w:r>
    </w:p>
    <w:p w14:paraId="3E516A67" w14:textId="77777777" w:rsidR="000C0EBC" w:rsidRDefault="000C0EBC">
      <w:pPr>
        <w:spacing w:after="160"/>
        <w:jc w:val="center"/>
      </w:pPr>
    </w:p>
    <w:p w14:paraId="3C020CC0" w14:textId="77777777" w:rsidR="00167833" w:rsidRPr="007B654A" w:rsidRDefault="004110D3">
      <w:pPr>
        <w:jc w:val="center"/>
        <w:rPr>
          <w:color w:val="C2D69B" w:themeColor="accent3" w:themeTint="99"/>
          <w:sz w:val="36"/>
          <w:szCs w:val="36"/>
        </w:rPr>
      </w:pPr>
      <w:r w:rsidRPr="007B654A">
        <w:rPr>
          <w:b/>
          <w:color w:val="C2D69B" w:themeColor="accent3" w:themeTint="99"/>
          <w:sz w:val="36"/>
          <w:szCs w:val="36"/>
        </w:rPr>
        <w:t>INTELLIGENT INSURANCE CLAIM</w:t>
      </w:r>
      <w:r w:rsidRPr="007B654A">
        <w:rPr>
          <w:b/>
          <w:color w:val="C2D69B" w:themeColor="accent3" w:themeTint="99"/>
          <w:sz w:val="36"/>
          <w:szCs w:val="36"/>
        </w:rPr>
        <w:br/>
        <w:t>MANAGEMENT SYSTEM</w:t>
      </w:r>
    </w:p>
    <w:p w14:paraId="35AFF958" w14:textId="6CEAE1DB" w:rsidR="00167833" w:rsidRDefault="004F120E">
      <w:r>
        <w:rPr>
          <w:noProof/>
        </w:rPr>
        <w:drawing>
          <wp:anchor distT="0" distB="0" distL="114300" distR="114300" simplePos="0" relativeHeight="251658240" behindDoc="0" locked="0" layoutInCell="1" allowOverlap="1" wp14:anchorId="7F34CCFF" wp14:editId="500F7419">
            <wp:simplePos x="0" y="0"/>
            <wp:positionH relativeFrom="column">
              <wp:posOffset>473075</wp:posOffset>
            </wp:positionH>
            <wp:positionV relativeFrom="paragraph">
              <wp:posOffset>281940</wp:posOffset>
            </wp:positionV>
            <wp:extent cx="5485765" cy="2870835"/>
            <wp:effectExtent l="0" t="0" r="635"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rance_architecture.png"/>
                    <pic:cNvPicPr/>
                  </pic:nvPicPr>
                  <pic:blipFill rotWithShape="1">
                    <a:blip r:embed="rId8"/>
                    <a:srcRect b="19866"/>
                    <a:stretch>
                      <a:fillRect/>
                    </a:stretch>
                  </pic:blipFill>
                  <pic:spPr bwMode="auto">
                    <a:xfrm>
                      <a:off x="0" y="0"/>
                      <a:ext cx="5485765" cy="28708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AFD6568" w14:textId="5C05FDEA" w:rsidR="00167833" w:rsidRDefault="00167833">
      <w:pPr>
        <w:jc w:val="center"/>
      </w:pPr>
    </w:p>
    <w:p w14:paraId="262828B7" w14:textId="77777777" w:rsidR="00167833" w:rsidRDefault="00167833"/>
    <w:tbl>
      <w:tblPr>
        <w:tblStyle w:val="TableGrid"/>
        <w:tblW w:w="0" w:type="auto"/>
        <w:jc w:val="center"/>
        <w:tblLook w:val="04A0" w:firstRow="1" w:lastRow="0" w:firstColumn="1" w:lastColumn="0" w:noHBand="0" w:noVBand="1"/>
      </w:tblPr>
      <w:tblGrid>
        <w:gridCol w:w="2914"/>
        <w:gridCol w:w="5782"/>
      </w:tblGrid>
      <w:tr w:rsidR="00167833" w14:paraId="29B0ECAE" w14:textId="77777777" w:rsidTr="004F120E">
        <w:trPr>
          <w:trHeight w:val="649"/>
          <w:jc w:val="center"/>
        </w:trPr>
        <w:tc>
          <w:tcPr>
            <w:tcW w:w="2914" w:type="dxa"/>
            <w:shd w:val="clear" w:color="auto" w:fill="EAF1DD" w:themeFill="accent3" w:themeFillTint="33"/>
          </w:tcPr>
          <w:p w14:paraId="6DAEB777" w14:textId="77777777" w:rsidR="00167833" w:rsidRPr="004F120E" w:rsidRDefault="004110D3">
            <w:pPr>
              <w:rPr>
                <w:color w:val="000000" w:themeColor="text1"/>
                <w:sz w:val="28"/>
                <w:szCs w:val="28"/>
              </w:rPr>
            </w:pPr>
            <w:r w:rsidRPr="004F120E">
              <w:rPr>
                <w:b/>
                <w:color w:val="000000" w:themeColor="text1"/>
                <w:sz w:val="28"/>
                <w:szCs w:val="28"/>
              </w:rPr>
              <w:t>Assessment Details</w:t>
            </w:r>
          </w:p>
        </w:tc>
        <w:tc>
          <w:tcPr>
            <w:tcW w:w="5782" w:type="dxa"/>
            <w:shd w:val="clear" w:color="auto" w:fill="EAF1DD" w:themeFill="accent3" w:themeFillTint="33"/>
          </w:tcPr>
          <w:p w14:paraId="62C138E7" w14:textId="77777777" w:rsidR="00167833" w:rsidRPr="004F120E" w:rsidRDefault="004110D3">
            <w:pPr>
              <w:rPr>
                <w:color w:val="000000" w:themeColor="text1"/>
                <w:sz w:val="28"/>
                <w:szCs w:val="28"/>
              </w:rPr>
            </w:pPr>
            <w:r w:rsidRPr="004F120E">
              <w:rPr>
                <w:b/>
                <w:color w:val="000000" w:themeColor="text1"/>
                <w:sz w:val="28"/>
                <w:szCs w:val="28"/>
              </w:rPr>
              <w:t>Information</w:t>
            </w:r>
          </w:p>
        </w:tc>
      </w:tr>
      <w:tr w:rsidR="00167833" w14:paraId="16E7C8A9" w14:textId="77777777" w:rsidTr="00390D2D">
        <w:trPr>
          <w:trHeight w:val="532"/>
          <w:jc w:val="center"/>
        </w:trPr>
        <w:tc>
          <w:tcPr>
            <w:tcW w:w="2914" w:type="dxa"/>
            <w:vAlign w:val="center"/>
          </w:tcPr>
          <w:p w14:paraId="0374A53C" w14:textId="77777777" w:rsidR="00167833" w:rsidRPr="00390D2D" w:rsidRDefault="004110D3">
            <w:pPr>
              <w:spacing w:after="20"/>
              <w:rPr>
                <w:sz w:val="28"/>
                <w:szCs w:val="28"/>
              </w:rPr>
            </w:pPr>
            <w:r w:rsidRPr="00390D2D">
              <w:rPr>
                <w:sz w:val="28"/>
                <w:szCs w:val="28"/>
              </w:rPr>
              <w:t>Course Code</w:t>
            </w:r>
          </w:p>
        </w:tc>
        <w:tc>
          <w:tcPr>
            <w:tcW w:w="5782" w:type="dxa"/>
            <w:vAlign w:val="center"/>
          </w:tcPr>
          <w:p w14:paraId="2CF38FFE" w14:textId="2CE17437" w:rsidR="00167833" w:rsidRPr="00390D2D" w:rsidRDefault="004110D3">
            <w:pPr>
              <w:spacing w:after="20"/>
              <w:rPr>
                <w:sz w:val="28"/>
                <w:szCs w:val="28"/>
              </w:rPr>
            </w:pPr>
            <w:r w:rsidRPr="00390D2D">
              <w:rPr>
                <w:sz w:val="28"/>
                <w:szCs w:val="28"/>
              </w:rPr>
              <w:t>CSA1005</w:t>
            </w:r>
          </w:p>
        </w:tc>
      </w:tr>
      <w:tr w:rsidR="00167833" w14:paraId="03F8ADD1" w14:textId="77777777" w:rsidTr="00390D2D">
        <w:trPr>
          <w:trHeight w:val="532"/>
          <w:jc w:val="center"/>
        </w:trPr>
        <w:tc>
          <w:tcPr>
            <w:tcW w:w="2914" w:type="dxa"/>
            <w:vAlign w:val="center"/>
          </w:tcPr>
          <w:p w14:paraId="5509B683" w14:textId="77777777" w:rsidR="00167833" w:rsidRPr="00390D2D" w:rsidRDefault="004110D3">
            <w:pPr>
              <w:spacing w:after="20"/>
              <w:rPr>
                <w:sz w:val="28"/>
                <w:szCs w:val="28"/>
              </w:rPr>
            </w:pPr>
            <w:r w:rsidRPr="00390D2D">
              <w:rPr>
                <w:sz w:val="28"/>
                <w:szCs w:val="28"/>
              </w:rPr>
              <w:t>Course Title</w:t>
            </w:r>
          </w:p>
        </w:tc>
        <w:tc>
          <w:tcPr>
            <w:tcW w:w="5782" w:type="dxa"/>
            <w:vAlign w:val="center"/>
          </w:tcPr>
          <w:p w14:paraId="70ABA57D" w14:textId="77777777" w:rsidR="00167833" w:rsidRPr="00390D2D" w:rsidRDefault="004110D3">
            <w:pPr>
              <w:spacing w:after="20"/>
              <w:rPr>
                <w:sz w:val="28"/>
                <w:szCs w:val="28"/>
              </w:rPr>
            </w:pPr>
            <w:r w:rsidRPr="00390D2D">
              <w:rPr>
                <w:sz w:val="28"/>
                <w:szCs w:val="28"/>
              </w:rPr>
              <w:t>Software Engineering</w:t>
            </w:r>
          </w:p>
        </w:tc>
      </w:tr>
      <w:tr w:rsidR="00167833" w14:paraId="7555AFF3" w14:textId="77777777" w:rsidTr="00390D2D">
        <w:trPr>
          <w:trHeight w:val="551"/>
          <w:jc w:val="center"/>
        </w:trPr>
        <w:tc>
          <w:tcPr>
            <w:tcW w:w="2914" w:type="dxa"/>
            <w:vAlign w:val="center"/>
          </w:tcPr>
          <w:p w14:paraId="7630D2B6" w14:textId="77777777" w:rsidR="00167833" w:rsidRPr="00390D2D" w:rsidRDefault="004110D3">
            <w:pPr>
              <w:spacing w:after="20"/>
              <w:rPr>
                <w:sz w:val="28"/>
                <w:szCs w:val="28"/>
              </w:rPr>
            </w:pPr>
            <w:r w:rsidRPr="00390D2D">
              <w:rPr>
                <w:sz w:val="28"/>
                <w:szCs w:val="28"/>
              </w:rPr>
              <w:t>Assessment</w:t>
            </w:r>
          </w:p>
        </w:tc>
        <w:tc>
          <w:tcPr>
            <w:tcW w:w="5782" w:type="dxa"/>
            <w:vAlign w:val="center"/>
          </w:tcPr>
          <w:p w14:paraId="4A107B44" w14:textId="77777777" w:rsidR="00167833" w:rsidRPr="00390D2D" w:rsidRDefault="004110D3">
            <w:pPr>
              <w:spacing w:after="20"/>
              <w:rPr>
                <w:sz w:val="28"/>
                <w:szCs w:val="28"/>
              </w:rPr>
            </w:pPr>
            <w:r w:rsidRPr="00390D2D">
              <w:rPr>
                <w:sz w:val="28"/>
                <w:szCs w:val="28"/>
              </w:rPr>
              <w:t>CO2 – Scenario-Based Requirement Analysis</w:t>
            </w:r>
          </w:p>
        </w:tc>
      </w:tr>
      <w:tr w:rsidR="00167833" w14:paraId="653D192D" w14:textId="77777777" w:rsidTr="00390D2D">
        <w:trPr>
          <w:trHeight w:val="532"/>
          <w:jc w:val="center"/>
        </w:trPr>
        <w:tc>
          <w:tcPr>
            <w:tcW w:w="2914" w:type="dxa"/>
            <w:vAlign w:val="center"/>
          </w:tcPr>
          <w:p w14:paraId="734BEBB8" w14:textId="77777777" w:rsidR="00167833" w:rsidRPr="00390D2D" w:rsidRDefault="004110D3">
            <w:pPr>
              <w:spacing w:after="20"/>
              <w:rPr>
                <w:sz w:val="28"/>
                <w:szCs w:val="28"/>
              </w:rPr>
            </w:pPr>
            <w:r w:rsidRPr="00390D2D">
              <w:rPr>
                <w:sz w:val="28"/>
                <w:szCs w:val="28"/>
              </w:rPr>
              <w:t>Student Name</w:t>
            </w:r>
          </w:p>
        </w:tc>
        <w:tc>
          <w:tcPr>
            <w:tcW w:w="5782" w:type="dxa"/>
            <w:vAlign w:val="center"/>
          </w:tcPr>
          <w:p w14:paraId="429EE828" w14:textId="6F8EF5F9" w:rsidR="00167833" w:rsidRPr="00390D2D" w:rsidRDefault="00390D2D">
            <w:pPr>
              <w:spacing w:after="20"/>
              <w:rPr>
                <w:sz w:val="28"/>
                <w:szCs w:val="28"/>
              </w:rPr>
            </w:pPr>
            <w:r>
              <w:rPr>
                <w:sz w:val="28"/>
                <w:szCs w:val="28"/>
              </w:rPr>
              <w:t>S.D. Riyaz Kamal</w:t>
            </w:r>
          </w:p>
        </w:tc>
      </w:tr>
      <w:tr w:rsidR="00167833" w14:paraId="77580210" w14:textId="77777777" w:rsidTr="00390D2D">
        <w:trPr>
          <w:trHeight w:val="532"/>
          <w:jc w:val="center"/>
        </w:trPr>
        <w:tc>
          <w:tcPr>
            <w:tcW w:w="2914" w:type="dxa"/>
            <w:vAlign w:val="center"/>
          </w:tcPr>
          <w:p w14:paraId="73FBBA99" w14:textId="77777777" w:rsidR="00167833" w:rsidRPr="00390D2D" w:rsidRDefault="004110D3">
            <w:pPr>
              <w:spacing w:after="20"/>
              <w:rPr>
                <w:sz w:val="28"/>
                <w:szCs w:val="28"/>
              </w:rPr>
            </w:pPr>
            <w:r w:rsidRPr="00390D2D">
              <w:rPr>
                <w:sz w:val="28"/>
                <w:szCs w:val="28"/>
              </w:rPr>
              <w:t>Register Number</w:t>
            </w:r>
          </w:p>
        </w:tc>
        <w:tc>
          <w:tcPr>
            <w:tcW w:w="5782" w:type="dxa"/>
            <w:vAlign w:val="center"/>
          </w:tcPr>
          <w:p w14:paraId="1B3264F6" w14:textId="34266389" w:rsidR="00167833" w:rsidRPr="00390D2D" w:rsidRDefault="00390D2D">
            <w:pPr>
              <w:spacing w:after="20"/>
              <w:rPr>
                <w:sz w:val="28"/>
                <w:szCs w:val="28"/>
              </w:rPr>
            </w:pPr>
            <w:r>
              <w:rPr>
                <w:sz w:val="28"/>
                <w:szCs w:val="28"/>
              </w:rPr>
              <w:t>192572049</w:t>
            </w:r>
          </w:p>
        </w:tc>
      </w:tr>
      <w:tr w:rsidR="00167833" w14:paraId="19F7A2E7" w14:textId="77777777" w:rsidTr="00390D2D">
        <w:trPr>
          <w:trHeight w:val="532"/>
          <w:jc w:val="center"/>
        </w:trPr>
        <w:tc>
          <w:tcPr>
            <w:tcW w:w="2914" w:type="dxa"/>
            <w:vAlign w:val="center"/>
          </w:tcPr>
          <w:p w14:paraId="065411B5" w14:textId="0F0E8408" w:rsidR="00167833" w:rsidRPr="00390D2D" w:rsidRDefault="004110D3">
            <w:pPr>
              <w:spacing w:after="20"/>
              <w:rPr>
                <w:sz w:val="28"/>
                <w:szCs w:val="28"/>
              </w:rPr>
            </w:pPr>
            <w:r w:rsidRPr="00390D2D">
              <w:rPr>
                <w:sz w:val="28"/>
                <w:szCs w:val="28"/>
              </w:rPr>
              <w:t>D</w:t>
            </w:r>
            <w:r w:rsidR="00390D2D">
              <w:rPr>
                <w:sz w:val="28"/>
                <w:szCs w:val="28"/>
              </w:rPr>
              <w:t>epartment</w:t>
            </w:r>
          </w:p>
        </w:tc>
        <w:tc>
          <w:tcPr>
            <w:tcW w:w="5782" w:type="dxa"/>
            <w:vAlign w:val="center"/>
          </w:tcPr>
          <w:p w14:paraId="623803D3" w14:textId="67A3B178" w:rsidR="00167833" w:rsidRPr="00390D2D" w:rsidRDefault="00390D2D">
            <w:pPr>
              <w:spacing w:after="20"/>
              <w:rPr>
                <w:sz w:val="28"/>
                <w:szCs w:val="28"/>
              </w:rPr>
            </w:pPr>
            <w:r>
              <w:rPr>
                <w:sz w:val="28"/>
                <w:szCs w:val="28"/>
              </w:rPr>
              <w:t>B.E CSE (A.I)</w:t>
            </w:r>
          </w:p>
        </w:tc>
      </w:tr>
    </w:tbl>
    <w:p w14:paraId="4C3124F3" w14:textId="77777777" w:rsidR="00167833" w:rsidRDefault="00167833">
      <w:pPr>
        <w:spacing w:after="0"/>
      </w:pPr>
    </w:p>
    <w:p w14:paraId="432C9D94" w14:textId="77777777" w:rsidR="00167833" w:rsidRDefault="004110D3">
      <w:r>
        <w:br w:type="page"/>
      </w:r>
    </w:p>
    <w:p w14:paraId="21A60B23" w14:textId="77777777" w:rsidR="00167833" w:rsidRPr="000C0EBC" w:rsidRDefault="004110D3" w:rsidP="000C0EBC">
      <w:pPr>
        <w:pStyle w:val="Heading1"/>
        <w:spacing w:line="360" w:lineRule="auto"/>
        <w:rPr>
          <w:rFonts w:ascii="Times New Roman" w:hAnsi="Times New Roman" w:cs="Times New Roman"/>
          <w:color w:val="000000" w:themeColor="text1"/>
          <w:sz w:val="28"/>
        </w:rPr>
      </w:pPr>
      <w:r w:rsidRPr="000C0EBC">
        <w:rPr>
          <w:rFonts w:ascii="Times New Roman" w:hAnsi="Times New Roman" w:cs="Times New Roman"/>
          <w:color w:val="000000" w:themeColor="text1"/>
          <w:sz w:val="28"/>
        </w:rPr>
        <w:lastRenderedPageBreak/>
        <w:t>1. Introduction</w:t>
      </w:r>
    </w:p>
    <w:p w14:paraId="7A06056B"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1.1 Purpose</w:t>
      </w:r>
    </w:p>
    <w:p w14:paraId="540AD38E" w14:textId="77777777" w:rsidR="00167833" w:rsidRPr="000C0EBC" w:rsidRDefault="004110D3" w:rsidP="000C0EBC">
      <w:pPr>
        <w:spacing w:line="360" w:lineRule="auto"/>
        <w:rPr>
          <w:rFonts w:cs="Times New Roman"/>
          <w:sz w:val="24"/>
          <w:szCs w:val="24"/>
        </w:rPr>
      </w:pPr>
      <w:r w:rsidRPr="000C0EBC">
        <w:rPr>
          <w:rFonts w:cs="Times New Roman"/>
          <w:sz w:val="24"/>
          <w:szCs w:val="24"/>
        </w:rPr>
        <w:t>This Software Requirement Specification (SRS) defines the proposed Intelligent Insurance Claim Management System (IICMS). It describes the system scope, users, functional and non-functional requirements, interfaces, data, workflows, assumptions, constraints, and validation checks. It is intended for customers, claims officers, assessors, approvers, administrators, developers, testers, and project evaluators.</w:t>
      </w:r>
    </w:p>
    <w:p w14:paraId="3E62C7D3"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1.2 Industry Context</w:t>
      </w:r>
    </w:p>
    <w:p w14:paraId="6E98D04D" w14:textId="77777777" w:rsidR="00167833" w:rsidRDefault="004110D3" w:rsidP="000C0EBC">
      <w:pPr>
        <w:spacing w:line="360" w:lineRule="auto"/>
        <w:rPr>
          <w:rFonts w:cs="Times New Roman"/>
          <w:sz w:val="24"/>
          <w:szCs w:val="24"/>
        </w:rPr>
      </w:pPr>
      <w:r w:rsidRPr="000C0EBC">
        <w:rPr>
          <w:rFonts w:cs="Times New Roman"/>
          <w:sz w:val="24"/>
          <w:szCs w:val="24"/>
        </w:rPr>
        <w:t>Insurance providers manage claims for vehicles, property, travel, health, and other insured assets. A claim typically moves through submission, document collection, verification, assessment, approval or rejection, settlement, and closure. Manual or fragmented processes can lead to delays, inconsistent decisions, repeated requests for evidence, and limited visibility for customers.</w:t>
      </w:r>
    </w:p>
    <w:p w14:paraId="55094C98" w14:textId="77777777" w:rsidR="000C0EBC" w:rsidRPr="000C0EBC" w:rsidRDefault="000C0EBC" w:rsidP="000C0EBC">
      <w:pPr>
        <w:spacing w:line="360" w:lineRule="auto"/>
        <w:rPr>
          <w:rFonts w:cs="Times New Roman"/>
          <w:sz w:val="24"/>
          <w:szCs w:val="24"/>
        </w:rPr>
      </w:pPr>
    </w:p>
    <w:p w14:paraId="777C1454"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1.3 Problem Statement</w:t>
      </w:r>
    </w:p>
    <w:p w14:paraId="6E24CC2E" w14:textId="77777777" w:rsidR="00167833" w:rsidRPr="000C0EBC" w:rsidRDefault="004110D3" w:rsidP="000C0EBC">
      <w:pPr>
        <w:spacing w:line="360" w:lineRule="auto"/>
        <w:rPr>
          <w:rFonts w:cs="Times New Roman"/>
          <w:color w:val="000000" w:themeColor="text1"/>
          <w:sz w:val="24"/>
          <w:szCs w:val="24"/>
        </w:rPr>
      </w:pPr>
      <w:r w:rsidRPr="000C0EBC">
        <w:rPr>
          <w:rFonts w:cs="Times New Roman"/>
          <w:color w:val="000000" w:themeColor="text1"/>
          <w:sz w:val="24"/>
          <w:szCs w:val="24"/>
        </w:rPr>
        <w:t>Design and develop a digital system through which customers can submit claims and supporting documents, while authorized personnel verify evidence, assess losses, coordinate investigations, make decisions, and record settlements. The solution must support configurable workflows and preserve a complete, traceable history of each claim.</w:t>
      </w:r>
    </w:p>
    <w:p w14:paraId="5BD4F953" w14:textId="77777777" w:rsidR="000C0EBC" w:rsidRPr="000C0EBC" w:rsidRDefault="000C0EBC" w:rsidP="000C0EBC">
      <w:pPr>
        <w:spacing w:line="360" w:lineRule="auto"/>
        <w:rPr>
          <w:rFonts w:cs="Times New Roman"/>
          <w:color w:val="000000" w:themeColor="text1"/>
          <w:sz w:val="24"/>
          <w:szCs w:val="24"/>
        </w:rPr>
      </w:pPr>
    </w:p>
    <w:p w14:paraId="14B9EFAF"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1.4 Objectives</w:t>
      </w:r>
    </w:p>
    <w:p w14:paraId="3C2CC080"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Register and retrieve policy information for eligible customers.</w:t>
      </w:r>
    </w:p>
    <w:p w14:paraId="1BE1C39F"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Accept digital claim submissions and supporting evidence.</w:t>
      </w:r>
    </w:p>
    <w:p w14:paraId="3F1A6B6D"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Provide clear claim status and customer communication.</w:t>
      </w:r>
    </w:p>
    <w:p w14:paraId="73980511"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Assign claims to assessors and record assessment outcomes.</w:t>
      </w:r>
    </w:p>
    <w:p w14:paraId="2A076087"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Manage approval, rejection, settlement, and closure.</w:t>
      </w:r>
    </w:p>
    <w:p w14:paraId="780EDE8D"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Generate operational analytics while protecting sensitive data.</w:t>
      </w:r>
    </w:p>
    <w:p w14:paraId="07F3DA1B" w14:textId="77777777" w:rsidR="000C0EBC" w:rsidRPr="000C0EBC" w:rsidRDefault="000C0EBC" w:rsidP="000C0EBC">
      <w:pPr>
        <w:pStyle w:val="ListBullet"/>
        <w:numPr>
          <w:ilvl w:val="0"/>
          <w:numId w:val="0"/>
        </w:numPr>
        <w:spacing w:after="20" w:line="360" w:lineRule="auto"/>
        <w:ind w:left="360"/>
        <w:rPr>
          <w:rFonts w:cs="Times New Roman"/>
          <w:color w:val="000000" w:themeColor="text1"/>
          <w:sz w:val="24"/>
          <w:szCs w:val="24"/>
        </w:rPr>
      </w:pPr>
    </w:p>
    <w:p w14:paraId="6D7CBA4F"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1.5 Intended Scope</w:t>
      </w:r>
    </w:p>
    <w:p w14:paraId="650468E6" w14:textId="77777777" w:rsidR="00167833" w:rsidRPr="000C0EBC" w:rsidRDefault="004110D3" w:rsidP="000C0EBC">
      <w:pPr>
        <w:spacing w:line="360" w:lineRule="auto"/>
        <w:rPr>
          <w:rFonts w:cs="Times New Roman"/>
          <w:color w:val="000000" w:themeColor="text1"/>
          <w:sz w:val="24"/>
          <w:szCs w:val="24"/>
        </w:rPr>
      </w:pPr>
      <w:r w:rsidRPr="000C0EBC">
        <w:rPr>
          <w:rFonts w:cs="Times New Roman"/>
          <w:color w:val="000000" w:themeColor="text1"/>
          <w:sz w:val="24"/>
          <w:szCs w:val="24"/>
        </w:rPr>
        <w:t>The proposed system covers claim intake through settlement tracking and reporting. It is a requirements-level design; implementation technology, insurer-specific rules, external integrations, and automated decision thresholds must be confirmed during detailed design.</w:t>
      </w:r>
    </w:p>
    <w:p w14:paraId="2F19551E" w14:textId="15F5D678" w:rsidR="00167833" w:rsidRPr="000C0EBC" w:rsidRDefault="004110D3" w:rsidP="000C0EBC">
      <w:pPr>
        <w:spacing w:line="360" w:lineRule="auto"/>
        <w:rPr>
          <w:rFonts w:cs="Times New Roman"/>
          <w:b/>
          <w:bCs/>
          <w:color w:val="000000" w:themeColor="text1"/>
          <w:sz w:val="28"/>
          <w:szCs w:val="28"/>
        </w:rPr>
      </w:pPr>
      <w:r w:rsidRPr="000C0EBC">
        <w:rPr>
          <w:rFonts w:cs="Times New Roman"/>
          <w:color w:val="000000" w:themeColor="text1"/>
          <w:sz w:val="24"/>
          <w:szCs w:val="24"/>
        </w:rPr>
        <w:br w:type="page"/>
      </w:r>
      <w:r w:rsidRPr="000C0EBC">
        <w:rPr>
          <w:rFonts w:cs="Times New Roman"/>
          <w:b/>
          <w:bCs/>
          <w:color w:val="000000" w:themeColor="text1"/>
          <w:sz w:val="28"/>
          <w:szCs w:val="28"/>
        </w:rPr>
        <w:lastRenderedPageBreak/>
        <w:t>2. Scenario Analysis and Scope</w:t>
      </w:r>
    </w:p>
    <w:p w14:paraId="79E32A26"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2.1 Stakeholders and Their Needs</w:t>
      </w:r>
    </w:p>
    <w:tbl>
      <w:tblPr>
        <w:tblStyle w:val="TableGrid"/>
        <w:tblW w:w="0" w:type="auto"/>
        <w:jc w:val="center"/>
        <w:tblLook w:val="04A0" w:firstRow="1" w:lastRow="0" w:firstColumn="1" w:lastColumn="0" w:noHBand="0" w:noVBand="1"/>
      </w:tblPr>
      <w:tblGrid>
        <w:gridCol w:w="2232"/>
        <w:gridCol w:w="7200"/>
      </w:tblGrid>
      <w:tr w:rsidR="00167833" w:rsidRPr="000C0EBC" w14:paraId="018499DD" w14:textId="77777777" w:rsidTr="000C0EBC">
        <w:trPr>
          <w:jc w:val="center"/>
        </w:trPr>
        <w:tc>
          <w:tcPr>
            <w:tcW w:w="2232" w:type="dxa"/>
            <w:shd w:val="clear" w:color="auto" w:fill="FFFFFF" w:themeFill="background1"/>
          </w:tcPr>
          <w:p w14:paraId="1AD4F43C" w14:textId="77777777" w:rsidR="00167833" w:rsidRPr="000C0EBC" w:rsidRDefault="004110D3" w:rsidP="000C0EBC">
            <w:pPr>
              <w:spacing w:line="360" w:lineRule="auto"/>
              <w:rPr>
                <w:rFonts w:cs="Times New Roman"/>
                <w:color w:val="000000" w:themeColor="text1"/>
                <w:sz w:val="24"/>
                <w:szCs w:val="24"/>
              </w:rPr>
            </w:pPr>
            <w:r w:rsidRPr="000C0EBC">
              <w:rPr>
                <w:rFonts w:cs="Times New Roman"/>
                <w:b/>
                <w:color w:val="000000" w:themeColor="text1"/>
                <w:sz w:val="24"/>
                <w:szCs w:val="24"/>
              </w:rPr>
              <w:t>Stakeholder</w:t>
            </w:r>
          </w:p>
        </w:tc>
        <w:tc>
          <w:tcPr>
            <w:tcW w:w="7200" w:type="dxa"/>
            <w:shd w:val="clear" w:color="auto" w:fill="FFFFFF" w:themeFill="background1"/>
          </w:tcPr>
          <w:p w14:paraId="76AA6228" w14:textId="77777777" w:rsidR="00167833" w:rsidRPr="000C0EBC" w:rsidRDefault="004110D3" w:rsidP="000C0EBC">
            <w:pPr>
              <w:spacing w:line="360" w:lineRule="auto"/>
              <w:rPr>
                <w:rFonts w:cs="Times New Roman"/>
                <w:color w:val="000000" w:themeColor="text1"/>
                <w:sz w:val="24"/>
                <w:szCs w:val="24"/>
              </w:rPr>
            </w:pPr>
            <w:r w:rsidRPr="000C0EBC">
              <w:rPr>
                <w:rFonts w:cs="Times New Roman"/>
                <w:b/>
                <w:color w:val="000000" w:themeColor="text1"/>
                <w:sz w:val="24"/>
                <w:szCs w:val="24"/>
              </w:rPr>
              <w:t>Primary need / responsibility</w:t>
            </w:r>
          </w:p>
        </w:tc>
      </w:tr>
      <w:tr w:rsidR="00167833" w:rsidRPr="000C0EBC" w14:paraId="3610A98F" w14:textId="77777777">
        <w:trPr>
          <w:jc w:val="center"/>
        </w:trPr>
        <w:tc>
          <w:tcPr>
            <w:tcW w:w="2232" w:type="dxa"/>
            <w:vAlign w:val="center"/>
          </w:tcPr>
          <w:p w14:paraId="570F542D"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Customer / Policyholder</w:t>
            </w:r>
          </w:p>
        </w:tc>
        <w:tc>
          <w:tcPr>
            <w:tcW w:w="7200" w:type="dxa"/>
            <w:vAlign w:val="center"/>
          </w:tcPr>
          <w:p w14:paraId="021D3897"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Register or access policy details, submit a claim, upload evidence, monitor status, respond to information requests.</w:t>
            </w:r>
          </w:p>
        </w:tc>
      </w:tr>
      <w:tr w:rsidR="00167833" w:rsidRPr="000C0EBC" w14:paraId="7A9CE20D" w14:textId="77777777">
        <w:trPr>
          <w:jc w:val="center"/>
        </w:trPr>
        <w:tc>
          <w:tcPr>
            <w:tcW w:w="2232" w:type="dxa"/>
            <w:vAlign w:val="center"/>
          </w:tcPr>
          <w:p w14:paraId="3845AF57"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Claims Officer</w:t>
            </w:r>
          </w:p>
        </w:tc>
        <w:tc>
          <w:tcPr>
            <w:tcW w:w="7200" w:type="dxa"/>
            <w:vAlign w:val="center"/>
          </w:tcPr>
          <w:p w14:paraId="646465A9"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Check completeness, validate eligibility, create tasks, assign assessors, communicate with customers.</w:t>
            </w:r>
          </w:p>
        </w:tc>
      </w:tr>
      <w:tr w:rsidR="00167833" w:rsidRPr="000C0EBC" w14:paraId="6C874D0E" w14:textId="77777777">
        <w:trPr>
          <w:jc w:val="center"/>
        </w:trPr>
        <w:tc>
          <w:tcPr>
            <w:tcW w:w="2232" w:type="dxa"/>
            <w:vAlign w:val="center"/>
          </w:tcPr>
          <w:p w14:paraId="6F990EDF"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Assessor / Investigator</w:t>
            </w:r>
          </w:p>
        </w:tc>
        <w:tc>
          <w:tcPr>
            <w:tcW w:w="7200" w:type="dxa"/>
            <w:vAlign w:val="center"/>
          </w:tcPr>
          <w:p w14:paraId="5DDC6E7B"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Review documents, inspect loss evidence, record findings, recommend an outcome, flag inconsistencies.</w:t>
            </w:r>
          </w:p>
        </w:tc>
      </w:tr>
      <w:tr w:rsidR="00167833" w:rsidRPr="000C0EBC" w14:paraId="6DF0EB8D" w14:textId="77777777">
        <w:trPr>
          <w:jc w:val="center"/>
        </w:trPr>
        <w:tc>
          <w:tcPr>
            <w:tcW w:w="2232" w:type="dxa"/>
            <w:vAlign w:val="center"/>
          </w:tcPr>
          <w:p w14:paraId="1DA41344"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Approver</w:t>
            </w:r>
          </w:p>
        </w:tc>
        <w:tc>
          <w:tcPr>
            <w:tcW w:w="7200" w:type="dxa"/>
            <w:vAlign w:val="center"/>
          </w:tcPr>
          <w:p w14:paraId="3A83D0E0"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Review recommendations and policy rules; approve, reject, or return claims for further evidence.</w:t>
            </w:r>
          </w:p>
        </w:tc>
      </w:tr>
      <w:tr w:rsidR="00167833" w:rsidRPr="000C0EBC" w14:paraId="312F812B" w14:textId="77777777">
        <w:trPr>
          <w:jc w:val="center"/>
        </w:trPr>
        <w:tc>
          <w:tcPr>
            <w:tcW w:w="2232" w:type="dxa"/>
            <w:vAlign w:val="center"/>
          </w:tcPr>
          <w:p w14:paraId="4E8979AE"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Settlement Officer</w:t>
            </w:r>
          </w:p>
        </w:tc>
        <w:tc>
          <w:tcPr>
            <w:tcW w:w="7200" w:type="dxa"/>
            <w:vAlign w:val="center"/>
          </w:tcPr>
          <w:p w14:paraId="0B0DF2FD"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Record approved amount, payment reference, payment date, and settlement status.</w:t>
            </w:r>
          </w:p>
        </w:tc>
      </w:tr>
      <w:tr w:rsidR="00167833" w:rsidRPr="000C0EBC" w14:paraId="16BB37B5" w14:textId="77777777">
        <w:trPr>
          <w:jc w:val="center"/>
        </w:trPr>
        <w:tc>
          <w:tcPr>
            <w:tcW w:w="2232" w:type="dxa"/>
            <w:vAlign w:val="center"/>
          </w:tcPr>
          <w:p w14:paraId="067B1D60"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System Administrator</w:t>
            </w:r>
          </w:p>
        </w:tc>
        <w:tc>
          <w:tcPr>
            <w:tcW w:w="7200" w:type="dxa"/>
            <w:vAlign w:val="center"/>
          </w:tcPr>
          <w:p w14:paraId="3C229BAE"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Manage roles, workflow rules, claim categories, templates, and audit access.</w:t>
            </w:r>
          </w:p>
        </w:tc>
      </w:tr>
      <w:tr w:rsidR="00167833" w:rsidRPr="000C0EBC" w14:paraId="6A2C6417" w14:textId="77777777">
        <w:trPr>
          <w:jc w:val="center"/>
        </w:trPr>
        <w:tc>
          <w:tcPr>
            <w:tcW w:w="2232" w:type="dxa"/>
            <w:vAlign w:val="center"/>
          </w:tcPr>
          <w:p w14:paraId="2754D7E6"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Management / Auditor</w:t>
            </w:r>
          </w:p>
        </w:tc>
        <w:tc>
          <w:tcPr>
            <w:tcW w:w="7200" w:type="dxa"/>
            <w:vAlign w:val="center"/>
          </w:tcPr>
          <w:p w14:paraId="7CEB4E6B" w14:textId="77777777" w:rsidR="00167833" w:rsidRPr="000C0EBC" w:rsidRDefault="004110D3" w:rsidP="000C0EBC">
            <w:pPr>
              <w:spacing w:after="20" w:line="360" w:lineRule="auto"/>
              <w:rPr>
                <w:rFonts w:cs="Times New Roman"/>
                <w:color w:val="000000" w:themeColor="text1"/>
                <w:sz w:val="24"/>
                <w:szCs w:val="24"/>
              </w:rPr>
            </w:pPr>
            <w:r w:rsidRPr="000C0EBC">
              <w:rPr>
                <w:rFonts w:cs="Times New Roman"/>
                <w:color w:val="000000" w:themeColor="text1"/>
                <w:sz w:val="24"/>
                <w:szCs w:val="24"/>
              </w:rPr>
              <w:t>View aggregate performance, trace decisions, and review audit records.</w:t>
            </w:r>
          </w:p>
        </w:tc>
      </w:tr>
    </w:tbl>
    <w:p w14:paraId="4408C50F" w14:textId="77777777" w:rsidR="00167833" w:rsidRPr="000C0EBC" w:rsidRDefault="00167833" w:rsidP="000C0EBC">
      <w:pPr>
        <w:spacing w:after="0" w:line="360" w:lineRule="auto"/>
        <w:rPr>
          <w:rFonts w:cs="Times New Roman"/>
          <w:color w:val="000000" w:themeColor="text1"/>
          <w:sz w:val="24"/>
          <w:szCs w:val="24"/>
        </w:rPr>
      </w:pPr>
    </w:p>
    <w:p w14:paraId="1F7CB036"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2.2 In-Scope Capabilities</w:t>
      </w:r>
    </w:p>
    <w:p w14:paraId="0D80C057"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Policy registration and policy-to-claim association.</w:t>
      </w:r>
    </w:p>
    <w:p w14:paraId="1F5F9057"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Digital claim forms with claim type, incident details, date, location, and requested amount.</w:t>
      </w:r>
    </w:p>
    <w:p w14:paraId="30311F11"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Evidence upload, metadata, versioning, and document review status.</w:t>
      </w:r>
    </w:p>
    <w:p w14:paraId="67819143"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Configurable claim stages, task assignment, due dates, and escalation.</w:t>
      </w:r>
    </w:p>
    <w:p w14:paraId="70AE991E"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Assessment notes, investigation records, decision rationale, and approval history.</w:t>
      </w:r>
    </w:p>
    <w:p w14:paraId="753515AC"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Settlement tracking, notifications, search, and aggregate reporting.</w:t>
      </w:r>
    </w:p>
    <w:p w14:paraId="108D5868"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2.3 Out of Scope for Initial Release</w:t>
      </w:r>
    </w:p>
    <w:p w14:paraId="19853712"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Automatic payment execution through a banking network unless a secure payment integration is separately approved.</w:t>
      </w:r>
    </w:p>
    <w:p w14:paraId="269E643D"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Replacing insurer policy administration or accounting systems.</w:t>
      </w:r>
    </w:p>
    <w:p w14:paraId="25784291"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Making final claim decisions solely through an AI model without authorized human review.</w:t>
      </w:r>
    </w:p>
    <w:p w14:paraId="119E7651" w14:textId="77777777" w:rsidR="00167833" w:rsidRPr="000C0EBC" w:rsidRDefault="004110D3" w:rsidP="000C0EBC">
      <w:pPr>
        <w:pStyle w:val="ListBullet"/>
        <w:spacing w:after="20" w:line="360" w:lineRule="auto"/>
        <w:rPr>
          <w:rFonts w:cs="Times New Roman"/>
          <w:color w:val="000000" w:themeColor="text1"/>
          <w:sz w:val="24"/>
          <w:szCs w:val="24"/>
        </w:rPr>
      </w:pPr>
      <w:r w:rsidRPr="000C0EBC">
        <w:rPr>
          <w:rFonts w:cs="Times New Roman"/>
          <w:color w:val="000000" w:themeColor="text1"/>
          <w:sz w:val="24"/>
          <w:szCs w:val="24"/>
        </w:rPr>
        <w:t>Guaranteeing fraud detection; risk indicators are decision support only.</w:t>
      </w:r>
    </w:p>
    <w:p w14:paraId="072DB967"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lastRenderedPageBreak/>
        <w:t>2.4 Business Rules</w:t>
      </w:r>
    </w:p>
    <w:p w14:paraId="002E4BD6"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A claim must reference a policy and contain mandatory incident information before submission.</w:t>
      </w:r>
    </w:p>
    <w:p w14:paraId="0B1FF2B0"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Only authorized roles may assess, approve, reject, or record settlement.</w:t>
      </w:r>
    </w:p>
    <w:p w14:paraId="63AE0847"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Every decision must include an actor, timestamp, outcome, and reason.</w:t>
      </w:r>
    </w:p>
    <w:p w14:paraId="268078CE"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A rejected or returned claim must retain its history; records are not silently overwritten.</w:t>
      </w:r>
    </w:p>
    <w:p w14:paraId="29A74C68"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Settlement recording is allowed only after the claim reaches an approved state.</w:t>
      </w:r>
    </w:p>
    <w:p w14:paraId="4F561B2C" w14:textId="77777777" w:rsidR="000C0EBC" w:rsidRPr="000C0EBC" w:rsidRDefault="000C0EBC" w:rsidP="000C0EBC">
      <w:pPr>
        <w:spacing w:line="360" w:lineRule="auto"/>
        <w:rPr>
          <w:rFonts w:cs="Times New Roman"/>
          <w:b/>
          <w:bCs/>
          <w:color w:val="000000" w:themeColor="text1"/>
          <w:sz w:val="28"/>
          <w:szCs w:val="28"/>
        </w:rPr>
      </w:pPr>
    </w:p>
    <w:p w14:paraId="152809F1" w14:textId="63D72292" w:rsidR="00167833" w:rsidRPr="000C0EBC" w:rsidRDefault="004110D3" w:rsidP="000C0EBC">
      <w:pPr>
        <w:spacing w:line="360" w:lineRule="auto"/>
        <w:rPr>
          <w:rFonts w:cs="Times New Roman"/>
          <w:b/>
          <w:bCs/>
          <w:color w:val="000000" w:themeColor="text1"/>
          <w:sz w:val="28"/>
          <w:szCs w:val="28"/>
        </w:rPr>
      </w:pPr>
      <w:r w:rsidRPr="000C0EBC">
        <w:rPr>
          <w:rFonts w:cs="Times New Roman"/>
          <w:b/>
          <w:bCs/>
          <w:color w:val="000000" w:themeColor="text1"/>
          <w:sz w:val="28"/>
          <w:szCs w:val="28"/>
        </w:rPr>
        <w:t>3. Functional Requirements</w:t>
      </w:r>
    </w:p>
    <w:p w14:paraId="3C121B6C" w14:textId="77777777" w:rsidR="00167833" w:rsidRPr="000C0EBC" w:rsidRDefault="004110D3" w:rsidP="000C0EBC">
      <w:pPr>
        <w:spacing w:line="360" w:lineRule="auto"/>
        <w:rPr>
          <w:rFonts w:cs="Times New Roman"/>
          <w:sz w:val="24"/>
          <w:szCs w:val="24"/>
        </w:rPr>
      </w:pPr>
      <w:r w:rsidRPr="000C0EBC">
        <w:rPr>
          <w:rFonts w:cs="Times New Roman"/>
          <w:sz w:val="24"/>
          <w:szCs w:val="24"/>
        </w:rPr>
        <w:t>The following requirements use unique identifiers so they can be traced into design, implementation, and testing.</w:t>
      </w:r>
    </w:p>
    <w:tbl>
      <w:tblPr>
        <w:tblStyle w:val="TableGrid"/>
        <w:tblW w:w="0" w:type="auto"/>
        <w:jc w:val="center"/>
        <w:tblLook w:val="04A0" w:firstRow="1" w:lastRow="0" w:firstColumn="1" w:lastColumn="0" w:noHBand="0" w:noVBand="1"/>
      </w:tblPr>
      <w:tblGrid>
        <w:gridCol w:w="936"/>
        <w:gridCol w:w="7488"/>
        <w:gridCol w:w="1080"/>
      </w:tblGrid>
      <w:tr w:rsidR="00167833" w:rsidRPr="000C0EBC" w14:paraId="3B91ADFB" w14:textId="77777777">
        <w:trPr>
          <w:jc w:val="center"/>
        </w:trPr>
        <w:tc>
          <w:tcPr>
            <w:tcW w:w="936" w:type="dxa"/>
            <w:shd w:val="clear" w:color="auto" w:fill="D9EAF7"/>
          </w:tcPr>
          <w:p w14:paraId="1DB2D2E8" w14:textId="77777777" w:rsidR="00167833" w:rsidRPr="000C0EBC" w:rsidRDefault="004110D3" w:rsidP="000C0EBC">
            <w:pPr>
              <w:spacing w:line="360" w:lineRule="auto"/>
              <w:rPr>
                <w:rFonts w:cs="Times New Roman"/>
                <w:sz w:val="24"/>
                <w:szCs w:val="24"/>
              </w:rPr>
            </w:pPr>
            <w:r w:rsidRPr="000C0EBC">
              <w:rPr>
                <w:rFonts w:cs="Times New Roman"/>
                <w:b/>
                <w:sz w:val="24"/>
                <w:szCs w:val="24"/>
              </w:rPr>
              <w:t>ID</w:t>
            </w:r>
          </w:p>
        </w:tc>
        <w:tc>
          <w:tcPr>
            <w:tcW w:w="7488" w:type="dxa"/>
            <w:shd w:val="clear" w:color="auto" w:fill="D9EAF7"/>
          </w:tcPr>
          <w:p w14:paraId="7051CB7F" w14:textId="77777777" w:rsidR="00167833" w:rsidRPr="000C0EBC" w:rsidRDefault="004110D3" w:rsidP="000C0EBC">
            <w:pPr>
              <w:spacing w:line="360" w:lineRule="auto"/>
              <w:rPr>
                <w:rFonts w:cs="Times New Roman"/>
                <w:sz w:val="24"/>
                <w:szCs w:val="24"/>
              </w:rPr>
            </w:pPr>
            <w:r w:rsidRPr="000C0EBC">
              <w:rPr>
                <w:rFonts w:cs="Times New Roman"/>
                <w:b/>
                <w:sz w:val="24"/>
                <w:szCs w:val="24"/>
              </w:rPr>
              <w:t>Requirement</w:t>
            </w:r>
          </w:p>
        </w:tc>
        <w:tc>
          <w:tcPr>
            <w:tcW w:w="1080" w:type="dxa"/>
            <w:shd w:val="clear" w:color="auto" w:fill="D9EAF7"/>
          </w:tcPr>
          <w:p w14:paraId="0CF8B057" w14:textId="77777777" w:rsidR="00167833" w:rsidRPr="000C0EBC" w:rsidRDefault="004110D3" w:rsidP="000C0EBC">
            <w:pPr>
              <w:spacing w:line="360" w:lineRule="auto"/>
              <w:rPr>
                <w:rFonts w:cs="Times New Roman"/>
                <w:sz w:val="24"/>
                <w:szCs w:val="24"/>
              </w:rPr>
            </w:pPr>
            <w:r w:rsidRPr="000C0EBC">
              <w:rPr>
                <w:rFonts w:cs="Times New Roman"/>
                <w:b/>
                <w:sz w:val="24"/>
                <w:szCs w:val="24"/>
              </w:rPr>
              <w:t>Priority</w:t>
            </w:r>
          </w:p>
        </w:tc>
      </w:tr>
      <w:tr w:rsidR="00167833" w:rsidRPr="000C0EBC" w14:paraId="53902845" w14:textId="77777777">
        <w:trPr>
          <w:jc w:val="center"/>
        </w:trPr>
        <w:tc>
          <w:tcPr>
            <w:tcW w:w="936" w:type="dxa"/>
            <w:vAlign w:val="center"/>
          </w:tcPr>
          <w:p w14:paraId="5ECC4EB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FR-01</w:t>
            </w:r>
          </w:p>
        </w:tc>
        <w:tc>
          <w:tcPr>
            <w:tcW w:w="7488" w:type="dxa"/>
            <w:vAlign w:val="center"/>
          </w:tcPr>
          <w:p w14:paraId="5EF5EA0C"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authenticate users and enforce role-based permissions.</w:t>
            </w:r>
          </w:p>
        </w:tc>
        <w:tc>
          <w:tcPr>
            <w:tcW w:w="1080" w:type="dxa"/>
            <w:vAlign w:val="center"/>
          </w:tcPr>
          <w:p w14:paraId="1B20C772"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2A5A1C35" w14:textId="77777777">
        <w:trPr>
          <w:jc w:val="center"/>
        </w:trPr>
        <w:tc>
          <w:tcPr>
            <w:tcW w:w="936" w:type="dxa"/>
            <w:vAlign w:val="center"/>
          </w:tcPr>
          <w:p w14:paraId="5C65C052"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FR-02</w:t>
            </w:r>
          </w:p>
        </w:tc>
        <w:tc>
          <w:tcPr>
            <w:tcW w:w="7488" w:type="dxa"/>
            <w:vAlign w:val="center"/>
          </w:tcPr>
          <w:p w14:paraId="4690012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register policy details or retrieve them from an approved policy source.</w:t>
            </w:r>
          </w:p>
        </w:tc>
        <w:tc>
          <w:tcPr>
            <w:tcW w:w="1080" w:type="dxa"/>
            <w:vAlign w:val="center"/>
          </w:tcPr>
          <w:p w14:paraId="1D88F635"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7567CFD2" w14:textId="77777777">
        <w:trPr>
          <w:jc w:val="center"/>
        </w:trPr>
        <w:tc>
          <w:tcPr>
            <w:tcW w:w="936" w:type="dxa"/>
            <w:vAlign w:val="center"/>
          </w:tcPr>
          <w:p w14:paraId="5DF8E5A2"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FR-03</w:t>
            </w:r>
          </w:p>
        </w:tc>
        <w:tc>
          <w:tcPr>
            <w:tcW w:w="7488" w:type="dxa"/>
            <w:vAlign w:val="center"/>
          </w:tcPr>
          <w:p w14:paraId="308E638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allow a customer to create, save, and submit a claim linked to a policy.</w:t>
            </w:r>
          </w:p>
        </w:tc>
        <w:tc>
          <w:tcPr>
            <w:tcW w:w="1080" w:type="dxa"/>
            <w:vAlign w:val="center"/>
          </w:tcPr>
          <w:p w14:paraId="618CE631"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52E54B12" w14:textId="77777777">
        <w:trPr>
          <w:jc w:val="center"/>
        </w:trPr>
        <w:tc>
          <w:tcPr>
            <w:tcW w:w="936" w:type="dxa"/>
            <w:vAlign w:val="center"/>
          </w:tcPr>
          <w:p w14:paraId="2A9CAC51"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FR-04</w:t>
            </w:r>
          </w:p>
        </w:tc>
        <w:tc>
          <w:tcPr>
            <w:tcW w:w="7488" w:type="dxa"/>
            <w:vAlign w:val="center"/>
          </w:tcPr>
          <w:p w14:paraId="578B712C"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validate mandatory fields and show actionable validation messages.</w:t>
            </w:r>
          </w:p>
        </w:tc>
        <w:tc>
          <w:tcPr>
            <w:tcW w:w="1080" w:type="dxa"/>
            <w:vAlign w:val="center"/>
          </w:tcPr>
          <w:p w14:paraId="1B818558"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4E8C0F34" w14:textId="77777777">
        <w:trPr>
          <w:jc w:val="center"/>
        </w:trPr>
        <w:tc>
          <w:tcPr>
            <w:tcW w:w="936" w:type="dxa"/>
            <w:vAlign w:val="center"/>
          </w:tcPr>
          <w:p w14:paraId="417DE408"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FR-05</w:t>
            </w:r>
          </w:p>
        </w:tc>
        <w:tc>
          <w:tcPr>
            <w:tcW w:w="7488" w:type="dxa"/>
            <w:vAlign w:val="center"/>
          </w:tcPr>
          <w:p w14:paraId="15A1CF5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accept supporting files and store document metadata, upload time, and uploader.</w:t>
            </w:r>
          </w:p>
        </w:tc>
        <w:tc>
          <w:tcPr>
            <w:tcW w:w="1080" w:type="dxa"/>
            <w:vAlign w:val="center"/>
          </w:tcPr>
          <w:p w14:paraId="7B9CEF0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3EF65744" w14:textId="77777777">
        <w:trPr>
          <w:jc w:val="center"/>
        </w:trPr>
        <w:tc>
          <w:tcPr>
            <w:tcW w:w="936" w:type="dxa"/>
            <w:vAlign w:val="center"/>
          </w:tcPr>
          <w:p w14:paraId="6E30285C"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FR-06</w:t>
            </w:r>
          </w:p>
        </w:tc>
        <w:tc>
          <w:tcPr>
            <w:tcW w:w="7488" w:type="dxa"/>
            <w:vAlign w:val="center"/>
          </w:tcPr>
          <w:p w14:paraId="488955E5"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assign a unique claim reference and retain submission timestamps.</w:t>
            </w:r>
          </w:p>
        </w:tc>
        <w:tc>
          <w:tcPr>
            <w:tcW w:w="1080" w:type="dxa"/>
            <w:vAlign w:val="center"/>
          </w:tcPr>
          <w:p w14:paraId="57B1116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234CC9AD" w14:textId="77777777">
        <w:trPr>
          <w:jc w:val="center"/>
        </w:trPr>
        <w:tc>
          <w:tcPr>
            <w:tcW w:w="936" w:type="dxa"/>
            <w:vAlign w:val="center"/>
          </w:tcPr>
          <w:p w14:paraId="0B7EAF49"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FR-07</w:t>
            </w:r>
          </w:p>
        </w:tc>
        <w:tc>
          <w:tcPr>
            <w:tcW w:w="7488" w:type="dxa"/>
            <w:vAlign w:val="center"/>
          </w:tcPr>
          <w:p w14:paraId="1617465C"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show customers the current status and permitted status history.</w:t>
            </w:r>
          </w:p>
        </w:tc>
        <w:tc>
          <w:tcPr>
            <w:tcW w:w="1080" w:type="dxa"/>
            <w:vAlign w:val="center"/>
          </w:tcPr>
          <w:p w14:paraId="15F2EBC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06DF76D1" w14:textId="77777777">
        <w:trPr>
          <w:jc w:val="center"/>
        </w:trPr>
        <w:tc>
          <w:tcPr>
            <w:tcW w:w="936" w:type="dxa"/>
            <w:vAlign w:val="center"/>
          </w:tcPr>
          <w:p w14:paraId="53E1C02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FR-08</w:t>
            </w:r>
          </w:p>
        </w:tc>
        <w:tc>
          <w:tcPr>
            <w:tcW w:w="7488" w:type="dxa"/>
            <w:vAlign w:val="center"/>
          </w:tcPr>
          <w:p w14:paraId="1695448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allow claims officers to check completeness and request more information.</w:t>
            </w:r>
          </w:p>
        </w:tc>
        <w:tc>
          <w:tcPr>
            <w:tcW w:w="1080" w:type="dxa"/>
            <w:vAlign w:val="center"/>
          </w:tcPr>
          <w:p w14:paraId="7772B6E5"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507BCD2A" w14:textId="77777777">
        <w:trPr>
          <w:jc w:val="center"/>
        </w:trPr>
        <w:tc>
          <w:tcPr>
            <w:tcW w:w="936" w:type="dxa"/>
            <w:vAlign w:val="center"/>
          </w:tcPr>
          <w:p w14:paraId="45DDDAB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FR-09</w:t>
            </w:r>
          </w:p>
        </w:tc>
        <w:tc>
          <w:tcPr>
            <w:tcW w:w="7488" w:type="dxa"/>
            <w:vAlign w:val="center"/>
          </w:tcPr>
          <w:p w14:paraId="6B1C471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assign or reassign claims to authorized assessors and record assignment history.</w:t>
            </w:r>
          </w:p>
        </w:tc>
        <w:tc>
          <w:tcPr>
            <w:tcW w:w="1080" w:type="dxa"/>
            <w:vAlign w:val="center"/>
          </w:tcPr>
          <w:p w14:paraId="36E0286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44571A25" w14:textId="77777777">
        <w:trPr>
          <w:jc w:val="center"/>
        </w:trPr>
        <w:tc>
          <w:tcPr>
            <w:tcW w:w="936" w:type="dxa"/>
            <w:vAlign w:val="center"/>
          </w:tcPr>
          <w:p w14:paraId="387AAFDB"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FR-10</w:t>
            </w:r>
          </w:p>
        </w:tc>
        <w:tc>
          <w:tcPr>
            <w:tcW w:w="7488" w:type="dxa"/>
            <w:vAlign w:val="center"/>
          </w:tcPr>
          <w:p w14:paraId="55B9381A"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allow assessors to record findings, estimated loss, evidence reviewed, and recommendations.</w:t>
            </w:r>
          </w:p>
        </w:tc>
        <w:tc>
          <w:tcPr>
            <w:tcW w:w="1080" w:type="dxa"/>
            <w:vAlign w:val="center"/>
          </w:tcPr>
          <w:p w14:paraId="3DAA2B9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5DCBF33B" w14:textId="77777777">
        <w:trPr>
          <w:jc w:val="center"/>
        </w:trPr>
        <w:tc>
          <w:tcPr>
            <w:tcW w:w="936" w:type="dxa"/>
            <w:vAlign w:val="center"/>
          </w:tcPr>
          <w:p w14:paraId="5C92D28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FR-11</w:t>
            </w:r>
          </w:p>
        </w:tc>
        <w:tc>
          <w:tcPr>
            <w:tcW w:w="7488" w:type="dxa"/>
            <w:vAlign w:val="center"/>
          </w:tcPr>
          <w:p w14:paraId="07A49EFB"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support configurable approval paths, including return-for-information, approval, and rejection.</w:t>
            </w:r>
          </w:p>
        </w:tc>
        <w:tc>
          <w:tcPr>
            <w:tcW w:w="1080" w:type="dxa"/>
            <w:vAlign w:val="center"/>
          </w:tcPr>
          <w:p w14:paraId="5173AD4B"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75926006" w14:textId="77777777">
        <w:trPr>
          <w:jc w:val="center"/>
        </w:trPr>
        <w:tc>
          <w:tcPr>
            <w:tcW w:w="936" w:type="dxa"/>
            <w:vAlign w:val="center"/>
          </w:tcPr>
          <w:p w14:paraId="743F083B"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lastRenderedPageBreak/>
              <w:t>FR-12</w:t>
            </w:r>
          </w:p>
        </w:tc>
        <w:tc>
          <w:tcPr>
            <w:tcW w:w="7488" w:type="dxa"/>
            <w:vAlign w:val="center"/>
          </w:tcPr>
          <w:p w14:paraId="312BAB8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require a reason for rejection, return, or material decision change.</w:t>
            </w:r>
          </w:p>
        </w:tc>
        <w:tc>
          <w:tcPr>
            <w:tcW w:w="1080" w:type="dxa"/>
            <w:vAlign w:val="center"/>
          </w:tcPr>
          <w:p w14:paraId="7361449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5C08531F" w14:textId="77777777">
        <w:trPr>
          <w:jc w:val="center"/>
        </w:trPr>
        <w:tc>
          <w:tcPr>
            <w:tcW w:w="936" w:type="dxa"/>
            <w:vAlign w:val="center"/>
          </w:tcPr>
          <w:p w14:paraId="0B7AC57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FR-13</w:t>
            </w:r>
          </w:p>
        </w:tc>
        <w:tc>
          <w:tcPr>
            <w:tcW w:w="7488" w:type="dxa"/>
            <w:vAlign w:val="center"/>
          </w:tcPr>
          <w:p w14:paraId="7FF6F0E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record settlement amount, payment reference, date, and settlement status.</w:t>
            </w:r>
          </w:p>
        </w:tc>
        <w:tc>
          <w:tcPr>
            <w:tcW w:w="1080" w:type="dxa"/>
            <w:vAlign w:val="center"/>
          </w:tcPr>
          <w:p w14:paraId="3F849301"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14D50543" w14:textId="77777777">
        <w:trPr>
          <w:jc w:val="center"/>
        </w:trPr>
        <w:tc>
          <w:tcPr>
            <w:tcW w:w="936" w:type="dxa"/>
            <w:vAlign w:val="center"/>
          </w:tcPr>
          <w:p w14:paraId="4669AA39"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FR-14</w:t>
            </w:r>
          </w:p>
        </w:tc>
        <w:tc>
          <w:tcPr>
            <w:tcW w:w="7488" w:type="dxa"/>
            <w:vAlign w:val="center"/>
          </w:tcPr>
          <w:p w14:paraId="5EB41E01"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notify relevant users when important claim events occur.</w:t>
            </w:r>
          </w:p>
        </w:tc>
        <w:tc>
          <w:tcPr>
            <w:tcW w:w="1080" w:type="dxa"/>
            <w:vAlign w:val="center"/>
          </w:tcPr>
          <w:p w14:paraId="3EEFE94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Should</w:t>
            </w:r>
          </w:p>
        </w:tc>
      </w:tr>
      <w:tr w:rsidR="00167833" w:rsidRPr="000C0EBC" w14:paraId="123AFA50" w14:textId="77777777">
        <w:trPr>
          <w:jc w:val="center"/>
        </w:trPr>
        <w:tc>
          <w:tcPr>
            <w:tcW w:w="936" w:type="dxa"/>
            <w:vAlign w:val="center"/>
          </w:tcPr>
          <w:p w14:paraId="4B37A538"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FR-15</w:t>
            </w:r>
          </w:p>
        </w:tc>
        <w:tc>
          <w:tcPr>
            <w:tcW w:w="7488" w:type="dxa"/>
            <w:vAlign w:val="center"/>
          </w:tcPr>
          <w:p w14:paraId="30CA32E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provide dashboards and exportable summaries for workload, turnaround time, outcomes, and settlements.</w:t>
            </w:r>
          </w:p>
        </w:tc>
        <w:tc>
          <w:tcPr>
            <w:tcW w:w="1080" w:type="dxa"/>
            <w:vAlign w:val="center"/>
          </w:tcPr>
          <w:p w14:paraId="5810A94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Should</w:t>
            </w:r>
          </w:p>
        </w:tc>
      </w:tr>
      <w:tr w:rsidR="00167833" w:rsidRPr="000C0EBC" w14:paraId="37633B81" w14:textId="77777777">
        <w:trPr>
          <w:jc w:val="center"/>
        </w:trPr>
        <w:tc>
          <w:tcPr>
            <w:tcW w:w="936" w:type="dxa"/>
            <w:vAlign w:val="center"/>
          </w:tcPr>
          <w:p w14:paraId="7BA189A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FR-16</w:t>
            </w:r>
          </w:p>
        </w:tc>
        <w:tc>
          <w:tcPr>
            <w:tcW w:w="7488" w:type="dxa"/>
            <w:vAlign w:val="center"/>
          </w:tcPr>
          <w:p w14:paraId="7F2ACD84"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maintain an auditable event history for claim changes and access to sensitive records.</w:t>
            </w:r>
          </w:p>
        </w:tc>
        <w:tc>
          <w:tcPr>
            <w:tcW w:w="1080" w:type="dxa"/>
            <w:vAlign w:val="center"/>
          </w:tcPr>
          <w:p w14:paraId="281B38EA"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Must</w:t>
            </w:r>
          </w:p>
        </w:tc>
      </w:tr>
      <w:tr w:rsidR="00167833" w:rsidRPr="000C0EBC" w14:paraId="5E539E91" w14:textId="77777777">
        <w:trPr>
          <w:jc w:val="center"/>
        </w:trPr>
        <w:tc>
          <w:tcPr>
            <w:tcW w:w="936" w:type="dxa"/>
            <w:vAlign w:val="center"/>
          </w:tcPr>
          <w:p w14:paraId="74EE9D2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FR-17</w:t>
            </w:r>
          </w:p>
        </w:tc>
        <w:tc>
          <w:tcPr>
            <w:tcW w:w="7488" w:type="dxa"/>
            <w:vAlign w:val="center"/>
          </w:tcPr>
          <w:p w14:paraId="0110B4F9"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shall allow administrators to configure workflow stages, task rules, and notification templates.</w:t>
            </w:r>
          </w:p>
        </w:tc>
        <w:tc>
          <w:tcPr>
            <w:tcW w:w="1080" w:type="dxa"/>
            <w:vAlign w:val="center"/>
          </w:tcPr>
          <w:p w14:paraId="78FB5E0A"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Should</w:t>
            </w:r>
          </w:p>
        </w:tc>
      </w:tr>
      <w:tr w:rsidR="00167833" w:rsidRPr="000C0EBC" w14:paraId="790E70D7" w14:textId="77777777">
        <w:trPr>
          <w:jc w:val="center"/>
        </w:trPr>
        <w:tc>
          <w:tcPr>
            <w:tcW w:w="936" w:type="dxa"/>
            <w:vAlign w:val="center"/>
          </w:tcPr>
          <w:p w14:paraId="48F70C7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FR-18</w:t>
            </w:r>
          </w:p>
        </w:tc>
        <w:tc>
          <w:tcPr>
            <w:tcW w:w="7488" w:type="dxa"/>
            <w:vAlign w:val="center"/>
          </w:tcPr>
          <w:p w14:paraId="48A74C9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The system may flag unusual claim patterns for human review; flags must not automatically determine the outcome.</w:t>
            </w:r>
          </w:p>
        </w:tc>
        <w:tc>
          <w:tcPr>
            <w:tcW w:w="1080" w:type="dxa"/>
            <w:vAlign w:val="center"/>
          </w:tcPr>
          <w:p w14:paraId="5531F84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Could</w:t>
            </w:r>
          </w:p>
        </w:tc>
      </w:tr>
    </w:tbl>
    <w:p w14:paraId="3A0BD906" w14:textId="77777777" w:rsidR="00167833" w:rsidRPr="000C0EBC" w:rsidRDefault="00167833" w:rsidP="000C0EBC">
      <w:pPr>
        <w:spacing w:after="0" w:line="360" w:lineRule="auto"/>
        <w:rPr>
          <w:rFonts w:cs="Times New Roman"/>
          <w:b/>
          <w:bCs/>
          <w:sz w:val="28"/>
          <w:szCs w:val="28"/>
        </w:rPr>
      </w:pPr>
    </w:p>
    <w:p w14:paraId="3187C414" w14:textId="1101ACD6" w:rsidR="00167833" w:rsidRPr="000C0EBC" w:rsidRDefault="004110D3" w:rsidP="000C0EBC">
      <w:pPr>
        <w:spacing w:line="360" w:lineRule="auto"/>
        <w:rPr>
          <w:rFonts w:cs="Times New Roman"/>
          <w:b/>
          <w:bCs/>
          <w:sz w:val="28"/>
          <w:szCs w:val="28"/>
        </w:rPr>
      </w:pPr>
      <w:r w:rsidRPr="000C0EBC">
        <w:rPr>
          <w:rFonts w:cs="Times New Roman"/>
          <w:b/>
          <w:bCs/>
          <w:sz w:val="28"/>
          <w:szCs w:val="28"/>
        </w:rPr>
        <w:t>4. Non-Functional Requirements</w:t>
      </w:r>
    </w:p>
    <w:tbl>
      <w:tblPr>
        <w:tblStyle w:val="TableGrid"/>
        <w:tblW w:w="0" w:type="auto"/>
        <w:jc w:val="center"/>
        <w:tblLook w:val="04A0" w:firstRow="1" w:lastRow="0" w:firstColumn="1" w:lastColumn="0" w:noHBand="0" w:noVBand="1"/>
      </w:tblPr>
      <w:tblGrid>
        <w:gridCol w:w="1872"/>
        <w:gridCol w:w="7560"/>
      </w:tblGrid>
      <w:tr w:rsidR="00167833" w:rsidRPr="000C0EBC" w14:paraId="7F5E6460" w14:textId="77777777">
        <w:trPr>
          <w:jc w:val="center"/>
        </w:trPr>
        <w:tc>
          <w:tcPr>
            <w:tcW w:w="1872" w:type="dxa"/>
            <w:shd w:val="clear" w:color="auto" w:fill="D9EAF7"/>
          </w:tcPr>
          <w:p w14:paraId="4079FDD2" w14:textId="77777777" w:rsidR="00167833" w:rsidRPr="000C0EBC" w:rsidRDefault="004110D3" w:rsidP="000C0EBC">
            <w:pPr>
              <w:spacing w:line="360" w:lineRule="auto"/>
              <w:rPr>
                <w:rFonts w:cs="Times New Roman"/>
                <w:sz w:val="24"/>
                <w:szCs w:val="24"/>
              </w:rPr>
            </w:pPr>
            <w:r w:rsidRPr="000C0EBC">
              <w:rPr>
                <w:rFonts w:cs="Times New Roman"/>
                <w:b/>
                <w:sz w:val="24"/>
                <w:szCs w:val="24"/>
              </w:rPr>
              <w:t>Category</w:t>
            </w:r>
          </w:p>
        </w:tc>
        <w:tc>
          <w:tcPr>
            <w:tcW w:w="7560" w:type="dxa"/>
            <w:shd w:val="clear" w:color="auto" w:fill="D9EAF7"/>
          </w:tcPr>
          <w:p w14:paraId="230B30DD" w14:textId="77777777" w:rsidR="00167833" w:rsidRPr="000C0EBC" w:rsidRDefault="004110D3" w:rsidP="000C0EBC">
            <w:pPr>
              <w:spacing w:line="360" w:lineRule="auto"/>
              <w:rPr>
                <w:rFonts w:cs="Times New Roman"/>
                <w:sz w:val="24"/>
                <w:szCs w:val="24"/>
              </w:rPr>
            </w:pPr>
            <w:r w:rsidRPr="000C0EBC">
              <w:rPr>
                <w:rFonts w:cs="Times New Roman"/>
                <w:b/>
                <w:sz w:val="24"/>
                <w:szCs w:val="24"/>
              </w:rPr>
              <w:t>Requirement / acceptance target</w:t>
            </w:r>
          </w:p>
        </w:tc>
      </w:tr>
      <w:tr w:rsidR="00167833" w:rsidRPr="000C0EBC" w14:paraId="41D69A16" w14:textId="77777777">
        <w:trPr>
          <w:jc w:val="center"/>
        </w:trPr>
        <w:tc>
          <w:tcPr>
            <w:tcW w:w="1872" w:type="dxa"/>
            <w:vAlign w:val="center"/>
          </w:tcPr>
          <w:p w14:paraId="633DABC3"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Performance</w:t>
            </w:r>
          </w:p>
        </w:tc>
        <w:tc>
          <w:tcPr>
            <w:tcW w:w="7560" w:type="dxa"/>
            <w:vAlign w:val="center"/>
          </w:tcPr>
          <w:p w14:paraId="4FF33F7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For normal load, 95% of common portal actions should complete within 3 seconds, excluding large uploads and external-system delays.</w:t>
            </w:r>
          </w:p>
        </w:tc>
      </w:tr>
      <w:tr w:rsidR="00167833" w:rsidRPr="000C0EBC" w14:paraId="5F37ABA5" w14:textId="77777777">
        <w:trPr>
          <w:jc w:val="center"/>
        </w:trPr>
        <w:tc>
          <w:tcPr>
            <w:tcW w:w="1872" w:type="dxa"/>
            <w:vAlign w:val="center"/>
          </w:tcPr>
          <w:p w14:paraId="60E2205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Availability</w:t>
            </w:r>
          </w:p>
        </w:tc>
        <w:tc>
          <w:tcPr>
            <w:tcW w:w="7560" w:type="dxa"/>
            <w:vAlign w:val="center"/>
          </w:tcPr>
          <w:p w14:paraId="5E00C94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Target 99.5% monthly service availability, excluding planned maintenance, subject to hosting and operational budget.</w:t>
            </w:r>
          </w:p>
        </w:tc>
      </w:tr>
      <w:tr w:rsidR="00167833" w:rsidRPr="000C0EBC" w14:paraId="1D7C3C9C" w14:textId="77777777">
        <w:trPr>
          <w:jc w:val="center"/>
        </w:trPr>
        <w:tc>
          <w:tcPr>
            <w:tcW w:w="1872" w:type="dxa"/>
            <w:vAlign w:val="center"/>
          </w:tcPr>
          <w:p w14:paraId="75C0D1D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Security</w:t>
            </w:r>
          </w:p>
        </w:tc>
        <w:tc>
          <w:tcPr>
            <w:tcW w:w="7560" w:type="dxa"/>
            <w:vAlign w:val="center"/>
          </w:tcPr>
          <w:p w14:paraId="01405EA9"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Use encrypted transport, secure password handling, least-privilege access, session expiry, and protected document storage.</w:t>
            </w:r>
          </w:p>
        </w:tc>
      </w:tr>
      <w:tr w:rsidR="00167833" w:rsidRPr="000C0EBC" w14:paraId="12C85ABA" w14:textId="77777777">
        <w:trPr>
          <w:jc w:val="center"/>
        </w:trPr>
        <w:tc>
          <w:tcPr>
            <w:tcW w:w="1872" w:type="dxa"/>
            <w:vAlign w:val="center"/>
          </w:tcPr>
          <w:p w14:paraId="422DDD8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Privacy</w:t>
            </w:r>
          </w:p>
        </w:tc>
        <w:tc>
          <w:tcPr>
            <w:tcW w:w="7560" w:type="dxa"/>
            <w:vAlign w:val="center"/>
          </w:tcPr>
          <w:p w14:paraId="74985380"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Collect only necessary personal information; restrict access by role and purpose; define retention and deletion rules with the insurer.</w:t>
            </w:r>
          </w:p>
        </w:tc>
      </w:tr>
      <w:tr w:rsidR="00167833" w:rsidRPr="000C0EBC" w14:paraId="03ED597D" w14:textId="77777777">
        <w:trPr>
          <w:jc w:val="center"/>
        </w:trPr>
        <w:tc>
          <w:tcPr>
            <w:tcW w:w="1872" w:type="dxa"/>
            <w:vAlign w:val="center"/>
          </w:tcPr>
          <w:p w14:paraId="2B4D438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Reliability</w:t>
            </w:r>
          </w:p>
        </w:tc>
        <w:tc>
          <w:tcPr>
            <w:tcW w:w="7560" w:type="dxa"/>
            <w:vAlign w:val="center"/>
          </w:tcPr>
          <w:p w14:paraId="4E25319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 submitted claim must not be lost after the system confirms successful submission. Failed operations should provide safe retry guidance.</w:t>
            </w:r>
          </w:p>
        </w:tc>
      </w:tr>
      <w:tr w:rsidR="00167833" w:rsidRPr="000C0EBC" w14:paraId="04C476FD" w14:textId="77777777">
        <w:trPr>
          <w:jc w:val="center"/>
        </w:trPr>
        <w:tc>
          <w:tcPr>
            <w:tcW w:w="1872" w:type="dxa"/>
            <w:vAlign w:val="center"/>
          </w:tcPr>
          <w:p w14:paraId="438EB0C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Auditability</w:t>
            </w:r>
          </w:p>
        </w:tc>
        <w:tc>
          <w:tcPr>
            <w:tcW w:w="7560" w:type="dxa"/>
            <w:vAlign w:val="center"/>
          </w:tcPr>
          <w:p w14:paraId="5420AE1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Record claim status changes, assignment changes, decisions, settlement updates, and administrator configuration changes with actor and timestamp.</w:t>
            </w:r>
          </w:p>
        </w:tc>
      </w:tr>
      <w:tr w:rsidR="00167833" w:rsidRPr="000C0EBC" w14:paraId="59CD281F" w14:textId="77777777">
        <w:trPr>
          <w:jc w:val="center"/>
        </w:trPr>
        <w:tc>
          <w:tcPr>
            <w:tcW w:w="1872" w:type="dxa"/>
            <w:vAlign w:val="center"/>
          </w:tcPr>
          <w:p w14:paraId="30131AEB"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Compliance</w:t>
            </w:r>
          </w:p>
        </w:tc>
        <w:tc>
          <w:tcPr>
            <w:tcW w:w="7560" w:type="dxa"/>
            <w:vAlign w:val="center"/>
          </w:tcPr>
          <w:p w14:paraId="67FC6C21"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Applicable insurance, privacy, records-retention, and accessibility obligations must be confirmed for the deployment jurisdiction.</w:t>
            </w:r>
          </w:p>
        </w:tc>
      </w:tr>
    </w:tbl>
    <w:p w14:paraId="2E8909F3" w14:textId="77777777" w:rsidR="00167833" w:rsidRPr="000C0EBC" w:rsidRDefault="00167833" w:rsidP="000C0EBC">
      <w:pPr>
        <w:spacing w:after="0" w:line="360" w:lineRule="auto"/>
        <w:rPr>
          <w:rFonts w:cs="Times New Roman"/>
          <w:sz w:val="24"/>
          <w:szCs w:val="24"/>
        </w:rPr>
      </w:pPr>
    </w:p>
    <w:p w14:paraId="5A4F7D34"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lastRenderedPageBreak/>
        <w:t>4.1 Security and Intelligent Decision Support</w:t>
      </w:r>
    </w:p>
    <w:p w14:paraId="36830A22" w14:textId="77777777" w:rsidR="00167833" w:rsidRPr="000C0EBC" w:rsidRDefault="004110D3" w:rsidP="000C0EBC">
      <w:pPr>
        <w:spacing w:line="360" w:lineRule="auto"/>
        <w:rPr>
          <w:rFonts w:cs="Times New Roman"/>
          <w:color w:val="000000" w:themeColor="text1"/>
          <w:sz w:val="24"/>
          <w:szCs w:val="24"/>
        </w:rPr>
      </w:pPr>
      <w:r w:rsidRPr="000C0EBC">
        <w:rPr>
          <w:rFonts w:cs="Times New Roman"/>
          <w:color w:val="000000" w:themeColor="text1"/>
          <w:sz w:val="24"/>
          <w:szCs w:val="24"/>
        </w:rPr>
        <w:t>The system may use rules or analytical signals to prioritize incomplete, high-value, overdue, or unusual claims. Such signals should be explainable to authorized staff, logged, and reviewed by a human decision-maker. The design must not treat an algorithmic flag as proof of fraud or as an automatic rejection.</w:t>
      </w:r>
    </w:p>
    <w:p w14:paraId="433A12D0" w14:textId="77777777" w:rsidR="000C0EBC" w:rsidRPr="000C0EBC" w:rsidRDefault="000C0EBC" w:rsidP="000C0EBC">
      <w:pPr>
        <w:spacing w:line="360" w:lineRule="auto"/>
        <w:rPr>
          <w:rFonts w:cs="Times New Roman"/>
          <w:b/>
          <w:bCs/>
          <w:sz w:val="24"/>
          <w:szCs w:val="24"/>
        </w:rPr>
      </w:pPr>
    </w:p>
    <w:p w14:paraId="017C9671" w14:textId="30763E20" w:rsidR="00167833" w:rsidRPr="000C0EBC" w:rsidRDefault="004110D3" w:rsidP="000C0EBC">
      <w:pPr>
        <w:spacing w:line="360" w:lineRule="auto"/>
        <w:rPr>
          <w:rFonts w:cs="Times New Roman"/>
          <w:b/>
          <w:bCs/>
          <w:sz w:val="28"/>
          <w:szCs w:val="28"/>
        </w:rPr>
      </w:pPr>
      <w:r w:rsidRPr="000C0EBC">
        <w:rPr>
          <w:rFonts w:cs="Times New Roman"/>
          <w:b/>
          <w:bCs/>
          <w:sz w:val="28"/>
          <w:szCs w:val="28"/>
        </w:rPr>
        <w:t>5. Actors, Use Cases and Workflow</w:t>
      </w:r>
    </w:p>
    <w:p w14:paraId="23A418BC"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5.1 Actors</w:t>
      </w:r>
    </w:p>
    <w:p w14:paraId="6955BA2A"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Customer: submits claims, uploads evidence, tracks progress, and responds to requests.</w:t>
      </w:r>
    </w:p>
    <w:p w14:paraId="18D3C8BF"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Claims Officer: validates intake, manages assignments, and coordinates claim progression.</w:t>
      </w:r>
    </w:p>
    <w:p w14:paraId="0FC8FD57"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Assessor / Investigator: evaluates evidence and records findings and recommendations.</w:t>
      </w:r>
    </w:p>
    <w:p w14:paraId="2CAB9DB1"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Approver: approves, rejects, or returns claims according to authority and configured rules.</w:t>
      </w:r>
    </w:p>
    <w:p w14:paraId="4ECD53C9"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Settlement Officer: records payment and settlement details.</w:t>
      </w:r>
    </w:p>
    <w:p w14:paraId="3614209C"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Administrator: configures workflows, roles, reference data, and templates.</w:t>
      </w:r>
    </w:p>
    <w:p w14:paraId="3D33CB4D"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External services (optional): identity provider, policy system, email/SMS gateway, and payment platform.</w:t>
      </w:r>
    </w:p>
    <w:p w14:paraId="070B1F85"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5.2 Use Case Diagram</w:t>
      </w:r>
    </w:p>
    <w:p w14:paraId="50C4DCED" w14:textId="77777777" w:rsidR="00167833" w:rsidRPr="000C0EBC" w:rsidRDefault="004110D3" w:rsidP="000C0EBC">
      <w:pPr>
        <w:spacing w:line="360" w:lineRule="auto"/>
        <w:jc w:val="center"/>
        <w:rPr>
          <w:rFonts w:cs="Times New Roman"/>
          <w:sz w:val="24"/>
          <w:szCs w:val="24"/>
        </w:rPr>
      </w:pPr>
      <w:r w:rsidRPr="000C0EBC">
        <w:rPr>
          <w:rFonts w:cs="Times New Roman"/>
          <w:noProof/>
          <w:sz w:val="24"/>
          <w:szCs w:val="24"/>
        </w:rPr>
        <w:drawing>
          <wp:inline distT="0" distB="0" distL="0" distR="0" wp14:anchorId="22FBF4F6" wp14:editId="36F14E8B">
            <wp:extent cx="6126480" cy="3144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6126480" cy="3144078"/>
                    </a:xfrm>
                    <a:prstGeom prst="rect">
                      <a:avLst/>
                    </a:prstGeom>
                  </pic:spPr>
                </pic:pic>
              </a:graphicData>
            </a:graphic>
          </wp:inline>
        </w:drawing>
      </w:r>
    </w:p>
    <w:p w14:paraId="61723C1E" w14:textId="7020EF67" w:rsidR="000C0EBC" w:rsidRDefault="004110D3" w:rsidP="000C0EBC">
      <w:pPr>
        <w:spacing w:line="360" w:lineRule="auto"/>
        <w:jc w:val="center"/>
        <w:rPr>
          <w:rFonts w:cs="Times New Roman"/>
          <w:sz w:val="24"/>
          <w:szCs w:val="24"/>
        </w:rPr>
      </w:pPr>
      <w:r w:rsidRPr="000C0EBC">
        <w:rPr>
          <w:rFonts w:cs="Times New Roman"/>
          <w:sz w:val="24"/>
          <w:szCs w:val="24"/>
        </w:rPr>
        <w:t>Figure 1. Main actors and use cases (conceptual UML-inspired view).</w:t>
      </w:r>
    </w:p>
    <w:p w14:paraId="57A3868C" w14:textId="77777777" w:rsidR="000C0EBC" w:rsidRPr="000C0EBC" w:rsidRDefault="000C0EBC" w:rsidP="000C0EBC">
      <w:pPr>
        <w:spacing w:line="360" w:lineRule="auto"/>
        <w:jc w:val="center"/>
        <w:rPr>
          <w:rFonts w:cs="Times New Roman"/>
          <w:sz w:val="24"/>
          <w:szCs w:val="24"/>
        </w:rPr>
      </w:pPr>
    </w:p>
    <w:p w14:paraId="57D8343B" w14:textId="77777777" w:rsidR="00167833" w:rsidRDefault="00167833" w:rsidP="000C0EBC">
      <w:pPr>
        <w:spacing w:after="0" w:line="360" w:lineRule="auto"/>
        <w:rPr>
          <w:rFonts w:cs="Times New Roman"/>
          <w:sz w:val="24"/>
          <w:szCs w:val="24"/>
        </w:rPr>
      </w:pPr>
    </w:p>
    <w:p w14:paraId="05E2A02E" w14:textId="77777777" w:rsidR="00447869" w:rsidRPr="000C0EBC" w:rsidRDefault="00447869" w:rsidP="000C0EBC">
      <w:pPr>
        <w:spacing w:after="0" w:line="360" w:lineRule="auto"/>
        <w:rPr>
          <w:rFonts w:cs="Times New Roman"/>
          <w:sz w:val="24"/>
          <w:szCs w:val="24"/>
        </w:rPr>
      </w:pPr>
    </w:p>
    <w:p w14:paraId="0FBC3513" w14:textId="68290659" w:rsidR="00167833" w:rsidRPr="000C0EBC" w:rsidRDefault="004110D3" w:rsidP="000C0EBC">
      <w:pPr>
        <w:spacing w:line="360" w:lineRule="auto"/>
        <w:rPr>
          <w:rFonts w:cs="Times New Roman"/>
          <w:b/>
          <w:bCs/>
          <w:color w:val="000000" w:themeColor="text1"/>
          <w:sz w:val="28"/>
          <w:szCs w:val="28"/>
        </w:rPr>
      </w:pPr>
      <w:r w:rsidRPr="000C0EBC">
        <w:rPr>
          <w:rFonts w:cs="Times New Roman"/>
          <w:b/>
          <w:bCs/>
          <w:color w:val="000000" w:themeColor="text1"/>
          <w:sz w:val="28"/>
          <w:szCs w:val="28"/>
        </w:rPr>
        <w:lastRenderedPageBreak/>
        <w:t>6. Use Case Specifications and Claim Lifecycle</w:t>
      </w:r>
    </w:p>
    <w:p w14:paraId="424CE1FC" w14:textId="77777777"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6.1 Use Case: Submit a Claim</w:t>
      </w:r>
    </w:p>
    <w:tbl>
      <w:tblPr>
        <w:tblStyle w:val="TableGrid"/>
        <w:tblW w:w="0" w:type="auto"/>
        <w:jc w:val="center"/>
        <w:tblLook w:val="04A0" w:firstRow="1" w:lastRow="0" w:firstColumn="1" w:lastColumn="0" w:noHBand="0" w:noVBand="1"/>
      </w:tblPr>
      <w:tblGrid>
        <w:gridCol w:w="1800"/>
        <w:gridCol w:w="7632"/>
      </w:tblGrid>
      <w:tr w:rsidR="00167833" w:rsidRPr="000C0EBC" w14:paraId="000E2E42" w14:textId="77777777">
        <w:trPr>
          <w:jc w:val="center"/>
        </w:trPr>
        <w:tc>
          <w:tcPr>
            <w:tcW w:w="1800" w:type="dxa"/>
            <w:shd w:val="clear" w:color="auto" w:fill="D9EAF7"/>
          </w:tcPr>
          <w:p w14:paraId="1A865059" w14:textId="77777777" w:rsidR="00167833" w:rsidRPr="000C0EBC" w:rsidRDefault="004110D3" w:rsidP="000C0EBC">
            <w:pPr>
              <w:spacing w:line="360" w:lineRule="auto"/>
              <w:rPr>
                <w:rFonts w:cs="Times New Roman"/>
                <w:sz w:val="24"/>
                <w:szCs w:val="24"/>
              </w:rPr>
            </w:pPr>
            <w:r w:rsidRPr="000C0EBC">
              <w:rPr>
                <w:rFonts w:cs="Times New Roman"/>
                <w:b/>
                <w:sz w:val="24"/>
                <w:szCs w:val="24"/>
              </w:rPr>
              <w:t>Element</w:t>
            </w:r>
          </w:p>
        </w:tc>
        <w:tc>
          <w:tcPr>
            <w:tcW w:w="7632" w:type="dxa"/>
            <w:shd w:val="clear" w:color="auto" w:fill="D9EAF7"/>
          </w:tcPr>
          <w:p w14:paraId="2DC52AF8" w14:textId="77777777" w:rsidR="00167833" w:rsidRPr="000C0EBC" w:rsidRDefault="004110D3" w:rsidP="000C0EBC">
            <w:pPr>
              <w:spacing w:line="360" w:lineRule="auto"/>
              <w:rPr>
                <w:rFonts w:cs="Times New Roman"/>
                <w:sz w:val="24"/>
                <w:szCs w:val="24"/>
              </w:rPr>
            </w:pPr>
            <w:r w:rsidRPr="000C0EBC">
              <w:rPr>
                <w:rFonts w:cs="Times New Roman"/>
                <w:b/>
                <w:sz w:val="24"/>
                <w:szCs w:val="24"/>
              </w:rPr>
              <w:t>Specification</w:t>
            </w:r>
          </w:p>
        </w:tc>
      </w:tr>
      <w:tr w:rsidR="00167833" w:rsidRPr="000C0EBC" w14:paraId="42E15ED5" w14:textId="77777777">
        <w:trPr>
          <w:jc w:val="center"/>
        </w:trPr>
        <w:tc>
          <w:tcPr>
            <w:tcW w:w="1800" w:type="dxa"/>
            <w:vAlign w:val="center"/>
          </w:tcPr>
          <w:p w14:paraId="3B115C5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Preconditions</w:t>
            </w:r>
          </w:p>
        </w:tc>
        <w:tc>
          <w:tcPr>
            <w:tcW w:w="7632" w:type="dxa"/>
            <w:vAlign w:val="center"/>
          </w:tcPr>
          <w:p w14:paraId="24113314"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Customer is authenticated; policy is registered or can be verified; policy is eligible for claim intake.</w:t>
            </w:r>
          </w:p>
        </w:tc>
      </w:tr>
      <w:tr w:rsidR="00167833" w:rsidRPr="000C0EBC" w14:paraId="79D8E0AD" w14:textId="77777777">
        <w:trPr>
          <w:jc w:val="center"/>
        </w:trPr>
        <w:tc>
          <w:tcPr>
            <w:tcW w:w="1800" w:type="dxa"/>
            <w:vAlign w:val="center"/>
          </w:tcPr>
          <w:p w14:paraId="5AFFDFA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Trigger</w:t>
            </w:r>
          </w:p>
        </w:tc>
        <w:tc>
          <w:tcPr>
            <w:tcW w:w="7632" w:type="dxa"/>
            <w:vAlign w:val="center"/>
          </w:tcPr>
          <w:p w14:paraId="2534E8E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Customer selects “Submit a claim”.</w:t>
            </w:r>
          </w:p>
        </w:tc>
      </w:tr>
      <w:tr w:rsidR="00167833" w:rsidRPr="000C0EBC" w14:paraId="17975800" w14:textId="77777777">
        <w:trPr>
          <w:jc w:val="center"/>
        </w:trPr>
        <w:tc>
          <w:tcPr>
            <w:tcW w:w="1800" w:type="dxa"/>
            <w:vAlign w:val="center"/>
          </w:tcPr>
          <w:p w14:paraId="10305479"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Main flow</w:t>
            </w:r>
          </w:p>
        </w:tc>
        <w:tc>
          <w:tcPr>
            <w:tcW w:w="7632" w:type="dxa"/>
            <w:vAlign w:val="center"/>
          </w:tcPr>
          <w:p w14:paraId="292550B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1. Select policy and claim category. 2. Enter incident details and requested amount. 3. Upload available evidence. 4. Review validation messages. 5. Confirm submission. 6. System assigns claim reference and displays status.</w:t>
            </w:r>
          </w:p>
        </w:tc>
      </w:tr>
      <w:tr w:rsidR="00167833" w:rsidRPr="000C0EBC" w14:paraId="0B4C6485" w14:textId="77777777">
        <w:trPr>
          <w:jc w:val="center"/>
        </w:trPr>
        <w:tc>
          <w:tcPr>
            <w:tcW w:w="1800" w:type="dxa"/>
            <w:vAlign w:val="center"/>
          </w:tcPr>
          <w:p w14:paraId="2417BCB6"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Alternative flows</w:t>
            </w:r>
          </w:p>
        </w:tc>
        <w:tc>
          <w:tcPr>
            <w:tcW w:w="7632" w:type="dxa"/>
            <w:vAlign w:val="center"/>
          </w:tcPr>
          <w:p w14:paraId="3DAF5B3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Missing fields: prompt customer to correct them. Upload failure: retain draft where possible and allow retry. Policy mismatch: stop submission and route for policy verification.</w:t>
            </w:r>
          </w:p>
        </w:tc>
      </w:tr>
      <w:tr w:rsidR="00167833" w:rsidRPr="000C0EBC" w14:paraId="3BFF696F" w14:textId="77777777">
        <w:trPr>
          <w:jc w:val="center"/>
        </w:trPr>
        <w:tc>
          <w:tcPr>
            <w:tcW w:w="1800" w:type="dxa"/>
            <w:vAlign w:val="center"/>
          </w:tcPr>
          <w:p w14:paraId="0CB8F39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Postconditions</w:t>
            </w:r>
          </w:p>
        </w:tc>
        <w:tc>
          <w:tcPr>
            <w:tcW w:w="7632" w:type="dxa"/>
            <w:vAlign w:val="center"/>
          </w:tcPr>
          <w:p w14:paraId="2E66E22B"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Claim is stored, timestamped, linked to policy and documents, and visible in the authorized intake queue.</w:t>
            </w:r>
          </w:p>
        </w:tc>
      </w:tr>
      <w:tr w:rsidR="00167833" w:rsidRPr="000C0EBC" w14:paraId="607D01A6" w14:textId="77777777">
        <w:trPr>
          <w:jc w:val="center"/>
        </w:trPr>
        <w:tc>
          <w:tcPr>
            <w:tcW w:w="1800" w:type="dxa"/>
            <w:vAlign w:val="center"/>
          </w:tcPr>
          <w:p w14:paraId="507C8AA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Acceptance criteria</w:t>
            </w:r>
          </w:p>
        </w:tc>
        <w:tc>
          <w:tcPr>
            <w:tcW w:w="7632" w:type="dxa"/>
            <w:vAlign w:val="center"/>
          </w:tcPr>
          <w:p w14:paraId="54E140BA"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 valid submission receives a unique reference; required fields are checked; a confirmation is shown only after durable save.</w:t>
            </w:r>
          </w:p>
        </w:tc>
      </w:tr>
    </w:tbl>
    <w:p w14:paraId="4F3757AA" w14:textId="77777777" w:rsidR="00447869" w:rsidRDefault="00447869" w:rsidP="000C0EBC">
      <w:pPr>
        <w:pStyle w:val="Heading2"/>
        <w:spacing w:line="360" w:lineRule="auto"/>
        <w:rPr>
          <w:rFonts w:ascii="Times New Roman" w:hAnsi="Times New Roman" w:cs="Times New Roman"/>
          <w:color w:val="000000" w:themeColor="text1"/>
          <w:szCs w:val="24"/>
        </w:rPr>
      </w:pPr>
    </w:p>
    <w:p w14:paraId="60AF6549" w14:textId="167CDD02" w:rsidR="00167833" w:rsidRPr="000C0EBC" w:rsidRDefault="004110D3" w:rsidP="000C0EBC">
      <w:pPr>
        <w:pStyle w:val="Heading2"/>
        <w:spacing w:line="360" w:lineRule="auto"/>
        <w:rPr>
          <w:rFonts w:ascii="Times New Roman" w:hAnsi="Times New Roman" w:cs="Times New Roman"/>
          <w:color w:val="000000" w:themeColor="text1"/>
          <w:szCs w:val="24"/>
        </w:rPr>
      </w:pPr>
      <w:r w:rsidRPr="000C0EBC">
        <w:rPr>
          <w:rFonts w:ascii="Times New Roman" w:hAnsi="Times New Roman" w:cs="Times New Roman"/>
          <w:color w:val="000000" w:themeColor="text1"/>
          <w:szCs w:val="24"/>
        </w:rPr>
        <w:t>6.2 Use Case: Assess and Decide a Claim</w:t>
      </w:r>
    </w:p>
    <w:tbl>
      <w:tblPr>
        <w:tblStyle w:val="TableGrid"/>
        <w:tblW w:w="0" w:type="auto"/>
        <w:jc w:val="center"/>
        <w:tblLook w:val="04A0" w:firstRow="1" w:lastRow="0" w:firstColumn="1" w:lastColumn="0" w:noHBand="0" w:noVBand="1"/>
      </w:tblPr>
      <w:tblGrid>
        <w:gridCol w:w="1800"/>
        <w:gridCol w:w="7632"/>
      </w:tblGrid>
      <w:tr w:rsidR="00167833" w:rsidRPr="000C0EBC" w14:paraId="4286B6EC" w14:textId="77777777">
        <w:trPr>
          <w:jc w:val="center"/>
        </w:trPr>
        <w:tc>
          <w:tcPr>
            <w:tcW w:w="1800" w:type="dxa"/>
            <w:shd w:val="clear" w:color="auto" w:fill="D9EAF7"/>
          </w:tcPr>
          <w:p w14:paraId="43CD98F5" w14:textId="77777777" w:rsidR="00167833" w:rsidRPr="000C0EBC" w:rsidRDefault="004110D3" w:rsidP="000C0EBC">
            <w:pPr>
              <w:spacing w:line="360" w:lineRule="auto"/>
              <w:rPr>
                <w:rFonts w:cs="Times New Roman"/>
                <w:sz w:val="24"/>
                <w:szCs w:val="24"/>
              </w:rPr>
            </w:pPr>
            <w:r w:rsidRPr="000C0EBC">
              <w:rPr>
                <w:rFonts w:cs="Times New Roman"/>
                <w:b/>
                <w:sz w:val="24"/>
                <w:szCs w:val="24"/>
              </w:rPr>
              <w:t>Element</w:t>
            </w:r>
          </w:p>
        </w:tc>
        <w:tc>
          <w:tcPr>
            <w:tcW w:w="7632" w:type="dxa"/>
            <w:shd w:val="clear" w:color="auto" w:fill="D9EAF7"/>
          </w:tcPr>
          <w:p w14:paraId="4171B703" w14:textId="77777777" w:rsidR="00167833" w:rsidRPr="000C0EBC" w:rsidRDefault="004110D3" w:rsidP="000C0EBC">
            <w:pPr>
              <w:spacing w:line="360" w:lineRule="auto"/>
              <w:rPr>
                <w:rFonts w:cs="Times New Roman"/>
                <w:sz w:val="24"/>
                <w:szCs w:val="24"/>
              </w:rPr>
            </w:pPr>
            <w:r w:rsidRPr="000C0EBC">
              <w:rPr>
                <w:rFonts w:cs="Times New Roman"/>
                <w:b/>
                <w:sz w:val="24"/>
                <w:szCs w:val="24"/>
              </w:rPr>
              <w:t>Specification</w:t>
            </w:r>
          </w:p>
        </w:tc>
      </w:tr>
      <w:tr w:rsidR="00167833" w:rsidRPr="000C0EBC" w14:paraId="737FF538" w14:textId="77777777">
        <w:trPr>
          <w:jc w:val="center"/>
        </w:trPr>
        <w:tc>
          <w:tcPr>
            <w:tcW w:w="1800" w:type="dxa"/>
            <w:vAlign w:val="center"/>
          </w:tcPr>
          <w:p w14:paraId="4524447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Preconditions</w:t>
            </w:r>
          </w:p>
        </w:tc>
        <w:tc>
          <w:tcPr>
            <w:tcW w:w="7632" w:type="dxa"/>
            <w:vAlign w:val="center"/>
          </w:tcPr>
          <w:p w14:paraId="1B645790"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Claim is assigned to an authorized assessor and required evidence is available or explicitly marked pending.</w:t>
            </w:r>
          </w:p>
        </w:tc>
      </w:tr>
      <w:tr w:rsidR="00167833" w:rsidRPr="000C0EBC" w14:paraId="10AD8B6E" w14:textId="77777777">
        <w:trPr>
          <w:jc w:val="center"/>
        </w:trPr>
        <w:tc>
          <w:tcPr>
            <w:tcW w:w="1800" w:type="dxa"/>
            <w:vAlign w:val="center"/>
          </w:tcPr>
          <w:p w14:paraId="0EEF513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Main flow</w:t>
            </w:r>
          </w:p>
        </w:tc>
        <w:tc>
          <w:tcPr>
            <w:tcW w:w="7632" w:type="dxa"/>
            <w:vAlign w:val="center"/>
          </w:tcPr>
          <w:p w14:paraId="0E0C8095"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Assessor reviews policy and evidence, records findings and estimate, and submits a recommendation. Approver reviews the record and chooses approve, reject, or return for information.</w:t>
            </w:r>
          </w:p>
        </w:tc>
      </w:tr>
      <w:tr w:rsidR="00167833" w:rsidRPr="000C0EBC" w14:paraId="6C76F3F7" w14:textId="77777777">
        <w:trPr>
          <w:jc w:val="center"/>
        </w:trPr>
        <w:tc>
          <w:tcPr>
            <w:tcW w:w="1800" w:type="dxa"/>
            <w:vAlign w:val="center"/>
          </w:tcPr>
          <w:p w14:paraId="6CCAB062"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Exceptions</w:t>
            </w:r>
          </w:p>
        </w:tc>
        <w:tc>
          <w:tcPr>
            <w:tcW w:w="7632" w:type="dxa"/>
            <w:vAlign w:val="center"/>
          </w:tcPr>
          <w:p w14:paraId="36DD8CF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Suspected inconsistency triggers an investigation task; missing evidence returns the claim to an information-request stage; conflicts of authority block the decision.</w:t>
            </w:r>
          </w:p>
        </w:tc>
      </w:tr>
      <w:tr w:rsidR="00167833" w:rsidRPr="000C0EBC" w14:paraId="47A23E00" w14:textId="77777777">
        <w:trPr>
          <w:jc w:val="center"/>
        </w:trPr>
        <w:tc>
          <w:tcPr>
            <w:tcW w:w="1800" w:type="dxa"/>
            <w:vAlign w:val="center"/>
          </w:tcPr>
          <w:p w14:paraId="2A7A4910"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Postconditions</w:t>
            </w:r>
          </w:p>
        </w:tc>
        <w:tc>
          <w:tcPr>
            <w:tcW w:w="7632" w:type="dxa"/>
            <w:vAlign w:val="center"/>
          </w:tcPr>
          <w:p w14:paraId="3051A7E1"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Decision, reason, actor, timestamp, and supporting notes are stored in claim history; notifications are queued.</w:t>
            </w:r>
          </w:p>
        </w:tc>
      </w:tr>
    </w:tbl>
    <w:p w14:paraId="363168FB" w14:textId="77777777" w:rsidR="00167833" w:rsidRPr="000C0EBC" w:rsidRDefault="00167833" w:rsidP="000C0EBC">
      <w:pPr>
        <w:spacing w:after="0" w:line="360" w:lineRule="auto"/>
        <w:rPr>
          <w:rFonts w:cs="Times New Roman"/>
          <w:sz w:val="24"/>
          <w:szCs w:val="24"/>
        </w:rPr>
      </w:pPr>
    </w:p>
    <w:p w14:paraId="20953D00" w14:textId="77777777" w:rsidR="00167833" w:rsidRPr="00892686" w:rsidRDefault="004110D3" w:rsidP="000C0EBC">
      <w:pPr>
        <w:pStyle w:val="Heading2"/>
        <w:spacing w:line="360" w:lineRule="auto"/>
        <w:rPr>
          <w:rFonts w:ascii="Times New Roman" w:hAnsi="Times New Roman" w:cs="Times New Roman"/>
          <w:color w:val="000000" w:themeColor="text1"/>
          <w:szCs w:val="24"/>
        </w:rPr>
      </w:pPr>
      <w:r w:rsidRPr="00892686">
        <w:rPr>
          <w:rFonts w:ascii="Times New Roman" w:hAnsi="Times New Roman" w:cs="Times New Roman"/>
          <w:color w:val="000000" w:themeColor="text1"/>
          <w:szCs w:val="24"/>
        </w:rPr>
        <w:lastRenderedPageBreak/>
        <w:t>6.3 Workflow Diagram</w:t>
      </w:r>
    </w:p>
    <w:p w14:paraId="1851FE59" w14:textId="77777777" w:rsidR="00167833" w:rsidRPr="000C0EBC" w:rsidRDefault="004110D3" w:rsidP="000C0EBC">
      <w:pPr>
        <w:spacing w:line="360" w:lineRule="auto"/>
        <w:jc w:val="center"/>
        <w:rPr>
          <w:rFonts w:cs="Times New Roman"/>
          <w:sz w:val="24"/>
          <w:szCs w:val="24"/>
        </w:rPr>
      </w:pPr>
      <w:r w:rsidRPr="000C0EBC">
        <w:rPr>
          <w:rFonts w:cs="Times New Roman"/>
          <w:noProof/>
          <w:sz w:val="24"/>
          <w:szCs w:val="24"/>
        </w:rPr>
        <w:drawing>
          <wp:inline distT="0" distB="0" distL="0" distR="0" wp14:anchorId="625F07C8" wp14:editId="428BD916">
            <wp:extent cx="6125908" cy="3219564"/>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im_workflow.png"/>
                    <pic:cNvPicPr/>
                  </pic:nvPicPr>
                  <pic:blipFill>
                    <a:blip r:embed="rId10"/>
                    <a:stretch>
                      <a:fillRect/>
                    </a:stretch>
                  </pic:blipFill>
                  <pic:spPr>
                    <a:xfrm>
                      <a:off x="0" y="0"/>
                      <a:ext cx="6136012" cy="3224874"/>
                    </a:xfrm>
                    <a:prstGeom prst="rect">
                      <a:avLst/>
                    </a:prstGeom>
                  </pic:spPr>
                </pic:pic>
              </a:graphicData>
            </a:graphic>
          </wp:inline>
        </w:drawing>
      </w:r>
    </w:p>
    <w:p w14:paraId="1C974B8A" w14:textId="77777777" w:rsidR="00167833" w:rsidRPr="000C0EBC" w:rsidRDefault="004110D3" w:rsidP="000C0EBC">
      <w:pPr>
        <w:spacing w:line="360" w:lineRule="auto"/>
        <w:jc w:val="center"/>
        <w:rPr>
          <w:rFonts w:cs="Times New Roman"/>
          <w:sz w:val="24"/>
          <w:szCs w:val="24"/>
        </w:rPr>
      </w:pPr>
      <w:r w:rsidRPr="000C0EBC">
        <w:rPr>
          <w:rFonts w:cs="Times New Roman"/>
          <w:sz w:val="24"/>
          <w:szCs w:val="24"/>
        </w:rPr>
        <w:t>Figure 2. Typical lifecycle; administrators may configure stages and routing rules.</w:t>
      </w:r>
    </w:p>
    <w:p w14:paraId="11E662E0" w14:textId="77777777" w:rsidR="00892686" w:rsidRDefault="00892686" w:rsidP="00892686">
      <w:pPr>
        <w:spacing w:line="360" w:lineRule="auto"/>
        <w:rPr>
          <w:rFonts w:cs="Times New Roman"/>
          <w:sz w:val="24"/>
          <w:szCs w:val="24"/>
        </w:rPr>
      </w:pPr>
    </w:p>
    <w:p w14:paraId="075175A3" w14:textId="265FDC97" w:rsidR="00167833" w:rsidRPr="00892686" w:rsidRDefault="004110D3" w:rsidP="00892686">
      <w:pPr>
        <w:spacing w:line="360" w:lineRule="auto"/>
        <w:rPr>
          <w:rFonts w:cs="Times New Roman"/>
          <w:b/>
          <w:bCs/>
          <w:color w:val="000000" w:themeColor="text1"/>
          <w:sz w:val="24"/>
          <w:szCs w:val="24"/>
        </w:rPr>
      </w:pPr>
      <w:r w:rsidRPr="00892686">
        <w:rPr>
          <w:rFonts w:cs="Times New Roman"/>
          <w:b/>
          <w:bCs/>
          <w:color w:val="000000" w:themeColor="text1"/>
          <w:sz w:val="28"/>
          <w:szCs w:val="28"/>
        </w:rPr>
        <w:t>7. System Architecture and External Interfaces</w:t>
      </w:r>
    </w:p>
    <w:p w14:paraId="2888CBAA" w14:textId="5A5FF348" w:rsidR="00167833" w:rsidRPr="00E31275" w:rsidRDefault="004110D3" w:rsidP="00E31275">
      <w:pPr>
        <w:pStyle w:val="Heading2"/>
        <w:spacing w:line="360" w:lineRule="auto"/>
        <w:rPr>
          <w:rFonts w:ascii="Times New Roman" w:hAnsi="Times New Roman" w:cs="Times New Roman"/>
          <w:color w:val="000000" w:themeColor="text1"/>
          <w:szCs w:val="24"/>
        </w:rPr>
      </w:pPr>
      <w:r w:rsidRPr="00892686">
        <w:rPr>
          <w:rFonts w:ascii="Times New Roman" w:hAnsi="Times New Roman" w:cs="Times New Roman"/>
          <w:color w:val="000000" w:themeColor="text1"/>
          <w:szCs w:val="24"/>
        </w:rPr>
        <w:t>7.1 Proposed Architecture</w:t>
      </w:r>
      <w:r w:rsidRPr="00892686">
        <w:rPr>
          <w:rFonts w:cs="Times New Roman"/>
          <w:noProof/>
          <w:color w:val="000000" w:themeColor="text1"/>
          <w:szCs w:val="24"/>
        </w:rPr>
        <w:drawing>
          <wp:inline distT="0" distB="0" distL="0" distR="0" wp14:anchorId="7373795D" wp14:editId="3858558B">
            <wp:extent cx="6124161" cy="3006022"/>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rance_architecture.png"/>
                    <pic:cNvPicPr/>
                  </pic:nvPicPr>
                  <pic:blipFill rotWithShape="1">
                    <a:blip r:embed="rId8"/>
                    <a:srcRect b="24236"/>
                    <a:stretch>
                      <a:fillRect/>
                    </a:stretch>
                  </pic:blipFill>
                  <pic:spPr bwMode="auto">
                    <a:xfrm>
                      <a:off x="0" y="0"/>
                      <a:ext cx="6134496" cy="3011095"/>
                    </a:xfrm>
                    <a:prstGeom prst="rect">
                      <a:avLst/>
                    </a:prstGeom>
                    <a:ln>
                      <a:noFill/>
                    </a:ln>
                    <a:extLst>
                      <a:ext uri="{53640926-AAD7-44D8-BBD7-CCE9431645EC}">
                        <a14:shadowObscured xmlns:a14="http://schemas.microsoft.com/office/drawing/2010/main"/>
                      </a:ext>
                    </a:extLst>
                  </pic:spPr>
                </pic:pic>
              </a:graphicData>
            </a:graphic>
          </wp:inline>
        </w:drawing>
      </w:r>
    </w:p>
    <w:p w14:paraId="22F9F5FA" w14:textId="77777777" w:rsidR="00167833" w:rsidRPr="00892686" w:rsidRDefault="004110D3" w:rsidP="000C0EBC">
      <w:pPr>
        <w:spacing w:line="360" w:lineRule="auto"/>
        <w:jc w:val="center"/>
        <w:rPr>
          <w:rFonts w:cs="Times New Roman"/>
          <w:color w:val="000000" w:themeColor="text1"/>
          <w:sz w:val="24"/>
          <w:szCs w:val="24"/>
        </w:rPr>
      </w:pPr>
      <w:r w:rsidRPr="00892686">
        <w:rPr>
          <w:rFonts w:cs="Times New Roman"/>
          <w:color w:val="000000" w:themeColor="text1"/>
          <w:sz w:val="24"/>
          <w:szCs w:val="24"/>
        </w:rPr>
        <w:t>Figure 3. Logical architecture showing portals, API layer, domain services, and storage/reporting components.</w:t>
      </w:r>
    </w:p>
    <w:p w14:paraId="6A5E3AA7" w14:textId="77777777" w:rsidR="00167833" w:rsidRPr="00892686" w:rsidRDefault="004110D3" w:rsidP="000C0EBC">
      <w:pPr>
        <w:pStyle w:val="Heading2"/>
        <w:spacing w:line="360" w:lineRule="auto"/>
        <w:rPr>
          <w:rFonts w:ascii="Times New Roman" w:hAnsi="Times New Roman" w:cs="Times New Roman"/>
          <w:color w:val="000000" w:themeColor="text1"/>
          <w:szCs w:val="24"/>
        </w:rPr>
      </w:pPr>
      <w:r w:rsidRPr="00892686">
        <w:rPr>
          <w:rFonts w:ascii="Times New Roman" w:hAnsi="Times New Roman" w:cs="Times New Roman"/>
          <w:color w:val="000000" w:themeColor="text1"/>
          <w:szCs w:val="24"/>
        </w:rPr>
        <w:lastRenderedPageBreak/>
        <w:t>7.2 Component Responsibilities</w:t>
      </w:r>
    </w:p>
    <w:tbl>
      <w:tblPr>
        <w:tblStyle w:val="TableGrid"/>
        <w:tblW w:w="0" w:type="auto"/>
        <w:jc w:val="center"/>
        <w:tblLook w:val="04A0" w:firstRow="1" w:lastRow="0" w:firstColumn="1" w:lastColumn="0" w:noHBand="0" w:noVBand="1"/>
      </w:tblPr>
      <w:tblGrid>
        <w:gridCol w:w="2448"/>
        <w:gridCol w:w="6984"/>
      </w:tblGrid>
      <w:tr w:rsidR="00167833" w:rsidRPr="00892686" w14:paraId="5F97ADA6" w14:textId="77777777">
        <w:trPr>
          <w:jc w:val="center"/>
        </w:trPr>
        <w:tc>
          <w:tcPr>
            <w:tcW w:w="2448" w:type="dxa"/>
            <w:shd w:val="clear" w:color="auto" w:fill="D9EAF7"/>
          </w:tcPr>
          <w:p w14:paraId="3BFD19C5" w14:textId="77777777" w:rsidR="00167833" w:rsidRPr="00892686" w:rsidRDefault="004110D3" w:rsidP="000C0EBC">
            <w:pPr>
              <w:spacing w:line="360" w:lineRule="auto"/>
              <w:rPr>
                <w:rFonts w:cs="Times New Roman"/>
                <w:color w:val="000000" w:themeColor="text1"/>
                <w:sz w:val="24"/>
                <w:szCs w:val="24"/>
              </w:rPr>
            </w:pPr>
            <w:r w:rsidRPr="00892686">
              <w:rPr>
                <w:rFonts w:cs="Times New Roman"/>
                <w:b/>
                <w:color w:val="000000" w:themeColor="text1"/>
                <w:sz w:val="24"/>
                <w:szCs w:val="24"/>
              </w:rPr>
              <w:t>Component</w:t>
            </w:r>
          </w:p>
        </w:tc>
        <w:tc>
          <w:tcPr>
            <w:tcW w:w="6984" w:type="dxa"/>
            <w:shd w:val="clear" w:color="auto" w:fill="D9EAF7"/>
          </w:tcPr>
          <w:p w14:paraId="77D27321" w14:textId="77777777" w:rsidR="00167833" w:rsidRPr="00892686" w:rsidRDefault="004110D3" w:rsidP="000C0EBC">
            <w:pPr>
              <w:spacing w:line="360" w:lineRule="auto"/>
              <w:rPr>
                <w:rFonts w:cs="Times New Roman"/>
                <w:color w:val="000000" w:themeColor="text1"/>
                <w:sz w:val="24"/>
                <w:szCs w:val="24"/>
              </w:rPr>
            </w:pPr>
            <w:r w:rsidRPr="00892686">
              <w:rPr>
                <w:rFonts w:cs="Times New Roman"/>
                <w:b/>
                <w:color w:val="000000" w:themeColor="text1"/>
                <w:sz w:val="24"/>
                <w:szCs w:val="24"/>
              </w:rPr>
              <w:t>Responsibility</w:t>
            </w:r>
          </w:p>
        </w:tc>
      </w:tr>
      <w:tr w:rsidR="00167833" w:rsidRPr="00892686" w14:paraId="1E934C39" w14:textId="77777777">
        <w:trPr>
          <w:jc w:val="center"/>
        </w:trPr>
        <w:tc>
          <w:tcPr>
            <w:tcW w:w="2448" w:type="dxa"/>
            <w:vAlign w:val="center"/>
          </w:tcPr>
          <w:p w14:paraId="58EDB276"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Customer Portal</w:t>
            </w:r>
          </w:p>
        </w:tc>
        <w:tc>
          <w:tcPr>
            <w:tcW w:w="6984" w:type="dxa"/>
            <w:vAlign w:val="center"/>
          </w:tcPr>
          <w:p w14:paraId="31E44E0E"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Claim entry, document upload, status view, and requests for information.</w:t>
            </w:r>
          </w:p>
        </w:tc>
      </w:tr>
      <w:tr w:rsidR="00167833" w:rsidRPr="00892686" w14:paraId="487B9927" w14:textId="77777777">
        <w:trPr>
          <w:jc w:val="center"/>
        </w:trPr>
        <w:tc>
          <w:tcPr>
            <w:tcW w:w="2448" w:type="dxa"/>
            <w:vAlign w:val="center"/>
          </w:tcPr>
          <w:p w14:paraId="13DFF815"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Staff Portal</w:t>
            </w:r>
          </w:p>
        </w:tc>
        <w:tc>
          <w:tcPr>
            <w:tcW w:w="6984" w:type="dxa"/>
            <w:vAlign w:val="center"/>
          </w:tcPr>
          <w:p w14:paraId="123CFB26"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Queues, assessment workbench, decision actions, settlement entry, and reports.</w:t>
            </w:r>
          </w:p>
        </w:tc>
      </w:tr>
      <w:tr w:rsidR="00167833" w:rsidRPr="00892686" w14:paraId="3A27BE30" w14:textId="77777777">
        <w:trPr>
          <w:jc w:val="center"/>
        </w:trPr>
        <w:tc>
          <w:tcPr>
            <w:tcW w:w="2448" w:type="dxa"/>
            <w:vAlign w:val="center"/>
          </w:tcPr>
          <w:p w14:paraId="48AF376C"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API Gateway / Identity</w:t>
            </w:r>
          </w:p>
        </w:tc>
        <w:tc>
          <w:tcPr>
            <w:tcW w:w="6984" w:type="dxa"/>
            <w:vAlign w:val="center"/>
          </w:tcPr>
          <w:p w14:paraId="04EE044D"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Request validation, authentication, authorization, throttling, and API routing.</w:t>
            </w:r>
          </w:p>
        </w:tc>
      </w:tr>
      <w:tr w:rsidR="00167833" w:rsidRPr="00892686" w14:paraId="520BCD51" w14:textId="77777777">
        <w:trPr>
          <w:jc w:val="center"/>
        </w:trPr>
        <w:tc>
          <w:tcPr>
            <w:tcW w:w="2448" w:type="dxa"/>
            <w:vAlign w:val="center"/>
          </w:tcPr>
          <w:p w14:paraId="21B80477"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Claim Service</w:t>
            </w:r>
          </w:p>
        </w:tc>
        <w:tc>
          <w:tcPr>
            <w:tcW w:w="6984" w:type="dxa"/>
            <w:vAlign w:val="center"/>
          </w:tcPr>
          <w:p w14:paraId="2B901895"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Claim lifecycle, references, state transitions, and history.</w:t>
            </w:r>
          </w:p>
        </w:tc>
      </w:tr>
      <w:tr w:rsidR="00167833" w:rsidRPr="00892686" w14:paraId="2A6766BC" w14:textId="77777777">
        <w:trPr>
          <w:jc w:val="center"/>
        </w:trPr>
        <w:tc>
          <w:tcPr>
            <w:tcW w:w="2448" w:type="dxa"/>
            <w:vAlign w:val="center"/>
          </w:tcPr>
          <w:p w14:paraId="29D07751"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Policy Service</w:t>
            </w:r>
          </w:p>
        </w:tc>
        <w:tc>
          <w:tcPr>
            <w:tcW w:w="6984" w:type="dxa"/>
            <w:vAlign w:val="center"/>
          </w:tcPr>
          <w:p w14:paraId="3D7E1E91"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Policy lookup, coverage metadata, and eligibility checks through approved sources.</w:t>
            </w:r>
          </w:p>
        </w:tc>
      </w:tr>
      <w:tr w:rsidR="00167833" w:rsidRPr="00892686" w14:paraId="46030AA6" w14:textId="77777777">
        <w:trPr>
          <w:jc w:val="center"/>
        </w:trPr>
        <w:tc>
          <w:tcPr>
            <w:tcW w:w="2448" w:type="dxa"/>
            <w:vAlign w:val="center"/>
          </w:tcPr>
          <w:p w14:paraId="5BDD0DC4"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Workflow &amp; Notification</w:t>
            </w:r>
          </w:p>
        </w:tc>
        <w:tc>
          <w:tcPr>
            <w:tcW w:w="6984" w:type="dxa"/>
            <w:vAlign w:val="center"/>
          </w:tcPr>
          <w:p w14:paraId="4A65FF61"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Configurable routing, due dates, reminders, escalations, and event notifications.</w:t>
            </w:r>
          </w:p>
        </w:tc>
      </w:tr>
      <w:tr w:rsidR="00167833" w:rsidRPr="00892686" w14:paraId="69FD4A06" w14:textId="77777777">
        <w:trPr>
          <w:jc w:val="center"/>
        </w:trPr>
        <w:tc>
          <w:tcPr>
            <w:tcW w:w="2448" w:type="dxa"/>
            <w:vAlign w:val="center"/>
          </w:tcPr>
          <w:p w14:paraId="41176247"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Document Storage</w:t>
            </w:r>
          </w:p>
        </w:tc>
        <w:tc>
          <w:tcPr>
            <w:tcW w:w="6984" w:type="dxa"/>
            <w:vAlign w:val="center"/>
          </w:tcPr>
          <w:p w14:paraId="39220A98"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Encrypted evidence files, metadata, version control, and access controls.</w:t>
            </w:r>
          </w:p>
        </w:tc>
      </w:tr>
      <w:tr w:rsidR="00167833" w:rsidRPr="00892686" w14:paraId="709965BF" w14:textId="77777777">
        <w:trPr>
          <w:jc w:val="center"/>
        </w:trPr>
        <w:tc>
          <w:tcPr>
            <w:tcW w:w="2448" w:type="dxa"/>
            <w:vAlign w:val="center"/>
          </w:tcPr>
          <w:p w14:paraId="350DBC18"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Analytics Dashboard</w:t>
            </w:r>
          </w:p>
        </w:tc>
        <w:tc>
          <w:tcPr>
            <w:tcW w:w="6984" w:type="dxa"/>
            <w:vAlign w:val="center"/>
          </w:tcPr>
          <w:p w14:paraId="6AF5BE7B" w14:textId="77777777" w:rsidR="00167833" w:rsidRPr="00892686" w:rsidRDefault="004110D3" w:rsidP="000C0EBC">
            <w:pPr>
              <w:spacing w:after="20" w:line="360" w:lineRule="auto"/>
              <w:rPr>
                <w:rFonts w:cs="Times New Roman"/>
                <w:color w:val="000000" w:themeColor="text1"/>
                <w:sz w:val="24"/>
                <w:szCs w:val="24"/>
              </w:rPr>
            </w:pPr>
            <w:r w:rsidRPr="00892686">
              <w:rPr>
                <w:rFonts w:cs="Times New Roman"/>
                <w:color w:val="000000" w:themeColor="text1"/>
                <w:sz w:val="24"/>
                <w:szCs w:val="24"/>
              </w:rPr>
              <w:t>Aggregated workload, cycle-time, decision, and settlement metrics.</w:t>
            </w:r>
          </w:p>
        </w:tc>
      </w:tr>
    </w:tbl>
    <w:p w14:paraId="47E15456" w14:textId="77777777" w:rsidR="00167833" w:rsidRPr="00892686" w:rsidRDefault="00167833" w:rsidP="000C0EBC">
      <w:pPr>
        <w:spacing w:after="0" w:line="360" w:lineRule="auto"/>
        <w:rPr>
          <w:rFonts w:cs="Times New Roman"/>
          <w:color w:val="000000" w:themeColor="text1"/>
          <w:sz w:val="24"/>
          <w:szCs w:val="24"/>
        </w:rPr>
      </w:pPr>
    </w:p>
    <w:p w14:paraId="2F042BFA" w14:textId="31CA3674" w:rsidR="00167833" w:rsidRPr="00E31275" w:rsidRDefault="004110D3" w:rsidP="00E31275">
      <w:pPr>
        <w:spacing w:line="360" w:lineRule="auto"/>
        <w:rPr>
          <w:rFonts w:cs="Times New Roman"/>
          <w:b/>
          <w:bCs/>
          <w:color w:val="000000" w:themeColor="text1"/>
          <w:sz w:val="28"/>
          <w:szCs w:val="28"/>
        </w:rPr>
      </w:pPr>
      <w:r w:rsidRPr="00E31275">
        <w:rPr>
          <w:rFonts w:cs="Times New Roman"/>
          <w:b/>
          <w:bCs/>
          <w:color w:val="000000" w:themeColor="text1"/>
          <w:sz w:val="28"/>
          <w:szCs w:val="28"/>
        </w:rPr>
        <w:t>8. Data Requirements, Assumptions and Constraints</w:t>
      </w:r>
    </w:p>
    <w:p w14:paraId="16830373" w14:textId="1AF85B4F" w:rsidR="00167833" w:rsidRPr="00E31275" w:rsidRDefault="004110D3" w:rsidP="00E31275">
      <w:pPr>
        <w:pStyle w:val="Heading2"/>
        <w:spacing w:line="360" w:lineRule="auto"/>
        <w:rPr>
          <w:rFonts w:ascii="Times New Roman" w:hAnsi="Times New Roman" w:cs="Times New Roman"/>
          <w:color w:val="000000" w:themeColor="text1"/>
          <w:szCs w:val="24"/>
        </w:rPr>
      </w:pPr>
      <w:r w:rsidRPr="00E31275">
        <w:rPr>
          <w:rFonts w:ascii="Times New Roman" w:hAnsi="Times New Roman" w:cs="Times New Roman"/>
          <w:color w:val="000000" w:themeColor="text1"/>
          <w:szCs w:val="24"/>
        </w:rPr>
        <w:t>8.1 Core Data Entities</w:t>
      </w:r>
    </w:p>
    <w:tbl>
      <w:tblPr>
        <w:tblStyle w:val="TableGrid"/>
        <w:tblW w:w="0" w:type="auto"/>
        <w:jc w:val="center"/>
        <w:tblLook w:val="04A0" w:firstRow="1" w:lastRow="0" w:firstColumn="1" w:lastColumn="0" w:noHBand="0" w:noVBand="1"/>
      </w:tblPr>
      <w:tblGrid>
        <w:gridCol w:w="2232"/>
        <w:gridCol w:w="7200"/>
      </w:tblGrid>
      <w:tr w:rsidR="00167833" w:rsidRPr="000C0EBC" w14:paraId="6D864B51" w14:textId="77777777">
        <w:trPr>
          <w:jc w:val="center"/>
        </w:trPr>
        <w:tc>
          <w:tcPr>
            <w:tcW w:w="2232" w:type="dxa"/>
            <w:shd w:val="clear" w:color="auto" w:fill="D9EAF7"/>
          </w:tcPr>
          <w:p w14:paraId="3B280E32" w14:textId="77777777" w:rsidR="00167833" w:rsidRPr="000C0EBC" w:rsidRDefault="004110D3" w:rsidP="000C0EBC">
            <w:pPr>
              <w:spacing w:line="360" w:lineRule="auto"/>
              <w:rPr>
                <w:rFonts w:cs="Times New Roman"/>
                <w:sz w:val="24"/>
                <w:szCs w:val="24"/>
              </w:rPr>
            </w:pPr>
            <w:r w:rsidRPr="000C0EBC">
              <w:rPr>
                <w:rFonts w:cs="Times New Roman"/>
                <w:b/>
                <w:sz w:val="24"/>
                <w:szCs w:val="24"/>
              </w:rPr>
              <w:t>Entity</w:t>
            </w:r>
          </w:p>
        </w:tc>
        <w:tc>
          <w:tcPr>
            <w:tcW w:w="7200" w:type="dxa"/>
            <w:shd w:val="clear" w:color="auto" w:fill="D9EAF7"/>
          </w:tcPr>
          <w:p w14:paraId="0AB56F95" w14:textId="77777777" w:rsidR="00167833" w:rsidRPr="000C0EBC" w:rsidRDefault="004110D3" w:rsidP="000C0EBC">
            <w:pPr>
              <w:spacing w:line="360" w:lineRule="auto"/>
              <w:rPr>
                <w:rFonts w:cs="Times New Roman"/>
                <w:sz w:val="24"/>
                <w:szCs w:val="24"/>
              </w:rPr>
            </w:pPr>
            <w:r w:rsidRPr="000C0EBC">
              <w:rPr>
                <w:rFonts w:cs="Times New Roman"/>
                <w:b/>
                <w:sz w:val="24"/>
                <w:szCs w:val="24"/>
              </w:rPr>
              <w:t>Important attributes</w:t>
            </w:r>
          </w:p>
        </w:tc>
      </w:tr>
      <w:tr w:rsidR="00167833" w:rsidRPr="000C0EBC" w14:paraId="418CEF01" w14:textId="77777777">
        <w:trPr>
          <w:jc w:val="center"/>
        </w:trPr>
        <w:tc>
          <w:tcPr>
            <w:tcW w:w="2232" w:type="dxa"/>
            <w:vAlign w:val="center"/>
          </w:tcPr>
          <w:p w14:paraId="5404585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Customer</w:t>
            </w:r>
          </w:p>
        </w:tc>
        <w:tc>
          <w:tcPr>
            <w:tcW w:w="7200" w:type="dxa"/>
            <w:vAlign w:val="center"/>
          </w:tcPr>
          <w:p w14:paraId="45BEBE0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Customer ID, name, contact details, preferred communication channel.</w:t>
            </w:r>
          </w:p>
        </w:tc>
      </w:tr>
      <w:tr w:rsidR="00167833" w:rsidRPr="000C0EBC" w14:paraId="16CF609D" w14:textId="77777777">
        <w:trPr>
          <w:jc w:val="center"/>
        </w:trPr>
        <w:tc>
          <w:tcPr>
            <w:tcW w:w="2232" w:type="dxa"/>
            <w:vAlign w:val="center"/>
          </w:tcPr>
          <w:p w14:paraId="56B9D8B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Policy</w:t>
            </w:r>
          </w:p>
        </w:tc>
        <w:tc>
          <w:tcPr>
            <w:tcW w:w="7200" w:type="dxa"/>
            <w:vAlign w:val="center"/>
          </w:tcPr>
          <w:p w14:paraId="32BCF9F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Policy ID, customer ID, policy type, coverage dates, status, relevant coverage reference.</w:t>
            </w:r>
          </w:p>
        </w:tc>
      </w:tr>
      <w:tr w:rsidR="00167833" w:rsidRPr="000C0EBC" w14:paraId="4D660339" w14:textId="77777777">
        <w:trPr>
          <w:jc w:val="center"/>
        </w:trPr>
        <w:tc>
          <w:tcPr>
            <w:tcW w:w="2232" w:type="dxa"/>
            <w:vAlign w:val="center"/>
          </w:tcPr>
          <w:p w14:paraId="2CBA2A9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Claim</w:t>
            </w:r>
          </w:p>
        </w:tc>
        <w:tc>
          <w:tcPr>
            <w:tcW w:w="7200" w:type="dxa"/>
            <w:vAlign w:val="center"/>
          </w:tcPr>
          <w:p w14:paraId="7D01E974"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Claim ID, policy ID, category, incident date, description, requested amount, current status.</w:t>
            </w:r>
          </w:p>
        </w:tc>
      </w:tr>
      <w:tr w:rsidR="00167833" w:rsidRPr="000C0EBC" w14:paraId="070AE52C" w14:textId="77777777">
        <w:trPr>
          <w:jc w:val="center"/>
        </w:trPr>
        <w:tc>
          <w:tcPr>
            <w:tcW w:w="2232" w:type="dxa"/>
            <w:vAlign w:val="center"/>
          </w:tcPr>
          <w:p w14:paraId="5D9673C1"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Document</w:t>
            </w:r>
          </w:p>
        </w:tc>
        <w:tc>
          <w:tcPr>
            <w:tcW w:w="7200" w:type="dxa"/>
            <w:vAlign w:val="center"/>
          </w:tcPr>
          <w:p w14:paraId="6FE388FA"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Document ID, claim ID, file reference, type, upload timestamp, review status, version.</w:t>
            </w:r>
          </w:p>
        </w:tc>
      </w:tr>
      <w:tr w:rsidR="00167833" w:rsidRPr="000C0EBC" w14:paraId="0C417F68" w14:textId="77777777">
        <w:trPr>
          <w:jc w:val="center"/>
        </w:trPr>
        <w:tc>
          <w:tcPr>
            <w:tcW w:w="2232" w:type="dxa"/>
            <w:vAlign w:val="center"/>
          </w:tcPr>
          <w:p w14:paraId="5681190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Decision / Audit Event</w:t>
            </w:r>
          </w:p>
        </w:tc>
        <w:tc>
          <w:tcPr>
            <w:tcW w:w="7200" w:type="dxa"/>
            <w:vAlign w:val="center"/>
          </w:tcPr>
          <w:p w14:paraId="31AB1B42"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Decision ID, outcome, reason, actor, timestamp; audit event type and before/after values where appropriate.</w:t>
            </w:r>
          </w:p>
        </w:tc>
      </w:tr>
      <w:tr w:rsidR="00167833" w:rsidRPr="000C0EBC" w14:paraId="575F2F63" w14:textId="77777777">
        <w:trPr>
          <w:jc w:val="center"/>
        </w:trPr>
        <w:tc>
          <w:tcPr>
            <w:tcW w:w="2232" w:type="dxa"/>
            <w:vAlign w:val="center"/>
          </w:tcPr>
          <w:p w14:paraId="47C176BF"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Settlement</w:t>
            </w:r>
          </w:p>
        </w:tc>
        <w:tc>
          <w:tcPr>
            <w:tcW w:w="7200" w:type="dxa"/>
            <w:vAlign w:val="center"/>
          </w:tcPr>
          <w:p w14:paraId="63F55F8A"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Settlement ID, claim ID, approved amount, payment reference, date, status.</w:t>
            </w:r>
          </w:p>
        </w:tc>
      </w:tr>
    </w:tbl>
    <w:p w14:paraId="79A9C546" w14:textId="77777777" w:rsidR="00167833" w:rsidRPr="000C0EBC" w:rsidRDefault="00167833" w:rsidP="000C0EBC">
      <w:pPr>
        <w:spacing w:after="0" w:line="360" w:lineRule="auto"/>
        <w:rPr>
          <w:rFonts w:cs="Times New Roman"/>
          <w:sz w:val="24"/>
          <w:szCs w:val="24"/>
        </w:rPr>
      </w:pPr>
    </w:p>
    <w:p w14:paraId="0102063F" w14:textId="77777777" w:rsidR="00167833" w:rsidRPr="00E31275" w:rsidRDefault="004110D3" w:rsidP="000C0EBC">
      <w:pPr>
        <w:pStyle w:val="Heading2"/>
        <w:spacing w:line="360" w:lineRule="auto"/>
        <w:rPr>
          <w:rFonts w:ascii="Times New Roman" w:hAnsi="Times New Roman" w:cs="Times New Roman"/>
          <w:color w:val="000000" w:themeColor="text1"/>
          <w:szCs w:val="24"/>
        </w:rPr>
      </w:pPr>
      <w:r w:rsidRPr="00E31275">
        <w:rPr>
          <w:rFonts w:ascii="Times New Roman" w:hAnsi="Times New Roman" w:cs="Times New Roman"/>
          <w:color w:val="000000" w:themeColor="text1"/>
          <w:szCs w:val="24"/>
        </w:rPr>
        <w:lastRenderedPageBreak/>
        <w:t>8.2 Assumptions</w:t>
      </w:r>
    </w:p>
    <w:p w14:paraId="45B63D15"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Customers have access to a supported browser and a usable contact method.</w:t>
      </w:r>
    </w:p>
    <w:p w14:paraId="7B52302F"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Authorized staff receive training and have role-specific accounts.</w:t>
      </w:r>
    </w:p>
    <w:p w14:paraId="3ACB5232"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Workflow stages can vary by claim category and are configured by an authorized administrator.</w:t>
      </w:r>
    </w:p>
    <w:p w14:paraId="251D13D8" w14:textId="77777777" w:rsidR="00167833" w:rsidRPr="000C0EBC" w:rsidRDefault="004110D3" w:rsidP="000C0EBC">
      <w:pPr>
        <w:pStyle w:val="ListBullet"/>
        <w:spacing w:after="20" w:line="360" w:lineRule="auto"/>
        <w:rPr>
          <w:rFonts w:cs="Times New Roman"/>
          <w:sz w:val="24"/>
          <w:szCs w:val="24"/>
        </w:rPr>
      </w:pPr>
      <w:r w:rsidRPr="000C0EBC">
        <w:rPr>
          <w:rFonts w:cs="Times New Roman"/>
          <w:sz w:val="24"/>
          <w:szCs w:val="24"/>
        </w:rPr>
        <w:t>Any external systems expose approved interfaces or provide controlled manual alternatives.</w:t>
      </w:r>
    </w:p>
    <w:p w14:paraId="398DEA83" w14:textId="77777777" w:rsidR="00E31275" w:rsidRDefault="00E31275" w:rsidP="00E31275">
      <w:pPr>
        <w:spacing w:line="360" w:lineRule="auto"/>
        <w:rPr>
          <w:rFonts w:cs="Times New Roman"/>
          <w:sz w:val="24"/>
          <w:szCs w:val="24"/>
        </w:rPr>
      </w:pPr>
    </w:p>
    <w:p w14:paraId="58BE7EE9" w14:textId="3C0F7F28" w:rsidR="00167833" w:rsidRPr="00E31275" w:rsidRDefault="004110D3" w:rsidP="00E31275">
      <w:pPr>
        <w:spacing w:line="360" w:lineRule="auto"/>
        <w:rPr>
          <w:rFonts w:cs="Times New Roman"/>
          <w:b/>
          <w:bCs/>
          <w:color w:val="000000" w:themeColor="text1"/>
          <w:sz w:val="28"/>
          <w:szCs w:val="28"/>
        </w:rPr>
      </w:pPr>
      <w:r w:rsidRPr="00E31275">
        <w:rPr>
          <w:rFonts w:cs="Times New Roman"/>
          <w:b/>
          <w:bCs/>
          <w:color w:val="000000" w:themeColor="text1"/>
          <w:sz w:val="28"/>
          <w:szCs w:val="28"/>
        </w:rPr>
        <w:t>9. Analytics, Validation and Conclusion</w:t>
      </w:r>
    </w:p>
    <w:p w14:paraId="1F178B76" w14:textId="77777777" w:rsidR="00167833" w:rsidRPr="00E31275" w:rsidRDefault="004110D3" w:rsidP="000C0EBC">
      <w:pPr>
        <w:pStyle w:val="Heading2"/>
        <w:spacing w:line="360" w:lineRule="auto"/>
        <w:rPr>
          <w:rFonts w:ascii="Times New Roman" w:hAnsi="Times New Roman" w:cs="Times New Roman"/>
          <w:color w:val="000000" w:themeColor="text1"/>
          <w:szCs w:val="24"/>
        </w:rPr>
      </w:pPr>
      <w:r w:rsidRPr="00E31275">
        <w:rPr>
          <w:rFonts w:ascii="Times New Roman" w:hAnsi="Times New Roman" w:cs="Times New Roman"/>
          <w:color w:val="000000" w:themeColor="text1"/>
          <w:szCs w:val="24"/>
        </w:rPr>
        <w:t>9.1 Claim Analytics</w:t>
      </w:r>
    </w:p>
    <w:tbl>
      <w:tblPr>
        <w:tblStyle w:val="TableGrid"/>
        <w:tblW w:w="0" w:type="auto"/>
        <w:jc w:val="center"/>
        <w:tblLook w:val="04A0" w:firstRow="1" w:lastRow="0" w:firstColumn="1" w:lastColumn="0" w:noHBand="0" w:noVBand="1"/>
      </w:tblPr>
      <w:tblGrid>
        <w:gridCol w:w="2448"/>
        <w:gridCol w:w="6984"/>
      </w:tblGrid>
      <w:tr w:rsidR="00167833" w:rsidRPr="000C0EBC" w14:paraId="74E7E2A8" w14:textId="77777777">
        <w:trPr>
          <w:jc w:val="center"/>
        </w:trPr>
        <w:tc>
          <w:tcPr>
            <w:tcW w:w="2448" w:type="dxa"/>
            <w:shd w:val="clear" w:color="auto" w:fill="D9EAF7"/>
          </w:tcPr>
          <w:p w14:paraId="654DE709" w14:textId="77777777" w:rsidR="00167833" w:rsidRPr="000C0EBC" w:rsidRDefault="004110D3" w:rsidP="000C0EBC">
            <w:pPr>
              <w:spacing w:line="360" w:lineRule="auto"/>
              <w:rPr>
                <w:rFonts w:cs="Times New Roman"/>
                <w:sz w:val="24"/>
                <w:szCs w:val="24"/>
              </w:rPr>
            </w:pPr>
            <w:r w:rsidRPr="000C0EBC">
              <w:rPr>
                <w:rFonts w:cs="Times New Roman"/>
                <w:b/>
                <w:sz w:val="24"/>
                <w:szCs w:val="24"/>
              </w:rPr>
              <w:t>Metric</w:t>
            </w:r>
          </w:p>
        </w:tc>
        <w:tc>
          <w:tcPr>
            <w:tcW w:w="6984" w:type="dxa"/>
            <w:shd w:val="clear" w:color="auto" w:fill="D9EAF7"/>
          </w:tcPr>
          <w:p w14:paraId="78A534CF" w14:textId="77777777" w:rsidR="00167833" w:rsidRPr="000C0EBC" w:rsidRDefault="004110D3" w:rsidP="000C0EBC">
            <w:pPr>
              <w:spacing w:line="360" w:lineRule="auto"/>
              <w:rPr>
                <w:rFonts w:cs="Times New Roman"/>
                <w:sz w:val="24"/>
                <w:szCs w:val="24"/>
              </w:rPr>
            </w:pPr>
            <w:r w:rsidRPr="000C0EBC">
              <w:rPr>
                <w:rFonts w:cs="Times New Roman"/>
                <w:b/>
                <w:sz w:val="24"/>
                <w:szCs w:val="24"/>
              </w:rPr>
              <w:t>Definition / use</w:t>
            </w:r>
          </w:p>
        </w:tc>
      </w:tr>
      <w:tr w:rsidR="00167833" w:rsidRPr="000C0EBC" w14:paraId="46675A33" w14:textId="77777777">
        <w:trPr>
          <w:jc w:val="center"/>
        </w:trPr>
        <w:tc>
          <w:tcPr>
            <w:tcW w:w="2448" w:type="dxa"/>
            <w:vAlign w:val="center"/>
          </w:tcPr>
          <w:p w14:paraId="7EEF31CD"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Claims received</w:t>
            </w:r>
          </w:p>
        </w:tc>
        <w:tc>
          <w:tcPr>
            <w:tcW w:w="6984" w:type="dxa"/>
            <w:vAlign w:val="center"/>
          </w:tcPr>
          <w:p w14:paraId="39567F88"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Count of claims submitted during a selected period; supports demand planning.</w:t>
            </w:r>
          </w:p>
        </w:tc>
      </w:tr>
      <w:tr w:rsidR="00167833" w:rsidRPr="000C0EBC" w14:paraId="67A75FE1" w14:textId="77777777">
        <w:trPr>
          <w:jc w:val="center"/>
        </w:trPr>
        <w:tc>
          <w:tcPr>
            <w:tcW w:w="2448" w:type="dxa"/>
            <w:vAlign w:val="center"/>
          </w:tcPr>
          <w:p w14:paraId="05FC2F8C"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Average processing time</w:t>
            </w:r>
          </w:p>
        </w:tc>
        <w:tc>
          <w:tcPr>
            <w:tcW w:w="6984" w:type="dxa"/>
            <w:vAlign w:val="center"/>
          </w:tcPr>
          <w:p w14:paraId="36B8B93E"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Elapsed time from submission to decision or closure, reported by claim category.</w:t>
            </w:r>
          </w:p>
        </w:tc>
      </w:tr>
      <w:tr w:rsidR="00167833" w:rsidRPr="000C0EBC" w14:paraId="3CD8E40F" w14:textId="77777777">
        <w:trPr>
          <w:jc w:val="center"/>
        </w:trPr>
        <w:tc>
          <w:tcPr>
            <w:tcW w:w="2448" w:type="dxa"/>
            <w:vAlign w:val="center"/>
          </w:tcPr>
          <w:p w14:paraId="1B162B35"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Stage ageing</w:t>
            </w:r>
          </w:p>
        </w:tc>
        <w:tc>
          <w:tcPr>
            <w:tcW w:w="6984" w:type="dxa"/>
            <w:vAlign w:val="center"/>
          </w:tcPr>
          <w:p w14:paraId="3C845C62"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Number of claims and time spent in each workflow stage; highlights bottlenecks.</w:t>
            </w:r>
          </w:p>
        </w:tc>
      </w:tr>
      <w:tr w:rsidR="00167833" w:rsidRPr="000C0EBC" w14:paraId="21249FC4" w14:textId="77777777">
        <w:trPr>
          <w:jc w:val="center"/>
        </w:trPr>
        <w:tc>
          <w:tcPr>
            <w:tcW w:w="2448" w:type="dxa"/>
            <w:vAlign w:val="center"/>
          </w:tcPr>
          <w:p w14:paraId="67B1DFB9"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Pending information</w:t>
            </w:r>
          </w:p>
        </w:tc>
        <w:tc>
          <w:tcPr>
            <w:tcW w:w="6984" w:type="dxa"/>
            <w:vAlign w:val="center"/>
          </w:tcPr>
          <w:p w14:paraId="2DE0B8F7" w14:textId="77777777" w:rsidR="00167833" w:rsidRPr="000C0EBC" w:rsidRDefault="004110D3" w:rsidP="000C0EBC">
            <w:pPr>
              <w:spacing w:after="20" w:line="360" w:lineRule="auto"/>
              <w:rPr>
                <w:rFonts w:cs="Times New Roman"/>
                <w:sz w:val="24"/>
                <w:szCs w:val="24"/>
              </w:rPr>
            </w:pPr>
            <w:r w:rsidRPr="000C0EBC">
              <w:rPr>
                <w:rFonts w:cs="Times New Roman"/>
                <w:sz w:val="24"/>
                <w:szCs w:val="24"/>
              </w:rPr>
              <w:t>Claims waiting for customer or third-party evidence.</w:t>
            </w:r>
          </w:p>
        </w:tc>
      </w:tr>
      <w:tr w:rsidR="00167833" w:rsidRPr="00E31275" w14:paraId="6955AC72" w14:textId="77777777">
        <w:trPr>
          <w:jc w:val="center"/>
        </w:trPr>
        <w:tc>
          <w:tcPr>
            <w:tcW w:w="2448" w:type="dxa"/>
            <w:vAlign w:val="center"/>
          </w:tcPr>
          <w:p w14:paraId="1511F959"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Decision distribution</w:t>
            </w:r>
          </w:p>
        </w:tc>
        <w:tc>
          <w:tcPr>
            <w:tcW w:w="6984" w:type="dxa"/>
            <w:vAlign w:val="center"/>
          </w:tcPr>
          <w:p w14:paraId="6D978852"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Approved, rejected, returned, or under-investigation claims, with category filters.</w:t>
            </w:r>
          </w:p>
        </w:tc>
      </w:tr>
      <w:tr w:rsidR="00167833" w:rsidRPr="00E31275" w14:paraId="6E796072" w14:textId="77777777">
        <w:trPr>
          <w:jc w:val="center"/>
        </w:trPr>
        <w:tc>
          <w:tcPr>
            <w:tcW w:w="2448" w:type="dxa"/>
            <w:vAlign w:val="center"/>
          </w:tcPr>
          <w:p w14:paraId="16C57898"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Settlement totals</w:t>
            </w:r>
          </w:p>
        </w:tc>
        <w:tc>
          <w:tcPr>
            <w:tcW w:w="6984" w:type="dxa"/>
            <w:vAlign w:val="center"/>
          </w:tcPr>
          <w:p w14:paraId="30B01744"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Approved and settled amounts over a period, subject to role-based access.</w:t>
            </w:r>
          </w:p>
        </w:tc>
      </w:tr>
    </w:tbl>
    <w:p w14:paraId="41FEC0DE" w14:textId="77777777" w:rsidR="00167833" w:rsidRPr="00E31275" w:rsidRDefault="00167833" w:rsidP="000C0EBC">
      <w:pPr>
        <w:spacing w:after="0" w:line="360" w:lineRule="auto"/>
        <w:rPr>
          <w:rFonts w:cs="Times New Roman"/>
          <w:color w:val="000000" w:themeColor="text1"/>
          <w:sz w:val="24"/>
          <w:szCs w:val="24"/>
        </w:rPr>
      </w:pPr>
    </w:p>
    <w:p w14:paraId="6539E574" w14:textId="77777777" w:rsidR="00167833" w:rsidRPr="00E31275" w:rsidRDefault="004110D3" w:rsidP="000C0EBC">
      <w:pPr>
        <w:pStyle w:val="Heading2"/>
        <w:spacing w:line="360" w:lineRule="auto"/>
        <w:rPr>
          <w:rFonts w:ascii="Times New Roman" w:hAnsi="Times New Roman" w:cs="Times New Roman"/>
          <w:color w:val="000000" w:themeColor="text1"/>
          <w:szCs w:val="24"/>
        </w:rPr>
      </w:pPr>
      <w:r w:rsidRPr="00E31275">
        <w:rPr>
          <w:rFonts w:ascii="Times New Roman" w:hAnsi="Times New Roman" w:cs="Times New Roman"/>
          <w:color w:val="000000" w:themeColor="text1"/>
          <w:szCs w:val="24"/>
        </w:rPr>
        <w:t>9.2 Requirement Completeness and Consistency Validation</w:t>
      </w:r>
    </w:p>
    <w:p w14:paraId="7924870D" w14:textId="77777777" w:rsidR="00167833" w:rsidRPr="00E31275" w:rsidRDefault="004110D3" w:rsidP="000C0EBC">
      <w:pPr>
        <w:pStyle w:val="ListBullet"/>
        <w:spacing w:after="20" w:line="360" w:lineRule="auto"/>
        <w:rPr>
          <w:rFonts w:cs="Times New Roman"/>
          <w:color w:val="000000" w:themeColor="text1"/>
          <w:sz w:val="24"/>
          <w:szCs w:val="24"/>
        </w:rPr>
      </w:pPr>
      <w:r w:rsidRPr="00E31275">
        <w:rPr>
          <w:rFonts w:cs="Times New Roman"/>
          <w:color w:val="000000" w:themeColor="text1"/>
          <w:sz w:val="24"/>
          <w:szCs w:val="24"/>
        </w:rPr>
        <w:t>Traceability: FR-01 to FR-18 map to identified stakeholders, use cases, and test cases.</w:t>
      </w:r>
    </w:p>
    <w:p w14:paraId="095DFDDB" w14:textId="77777777" w:rsidR="00167833" w:rsidRPr="00E31275" w:rsidRDefault="004110D3" w:rsidP="000C0EBC">
      <w:pPr>
        <w:pStyle w:val="ListBullet"/>
        <w:spacing w:after="20" w:line="360" w:lineRule="auto"/>
        <w:rPr>
          <w:rFonts w:cs="Times New Roman"/>
          <w:color w:val="000000" w:themeColor="text1"/>
          <w:sz w:val="24"/>
          <w:szCs w:val="24"/>
        </w:rPr>
      </w:pPr>
      <w:r w:rsidRPr="00E31275">
        <w:rPr>
          <w:rFonts w:cs="Times New Roman"/>
          <w:color w:val="000000" w:themeColor="text1"/>
          <w:sz w:val="24"/>
          <w:szCs w:val="24"/>
        </w:rPr>
        <w:t>Completeness: intake, evidence, assessment, decision, settlement, notifications, history, and reporting are covered.</w:t>
      </w:r>
    </w:p>
    <w:p w14:paraId="75E05F0C" w14:textId="77777777" w:rsidR="00167833" w:rsidRPr="00E31275" w:rsidRDefault="004110D3" w:rsidP="000C0EBC">
      <w:pPr>
        <w:pStyle w:val="ListBullet"/>
        <w:spacing w:after="20" w:line="360" w:lineRule="auto"/>
        <w:rPr>
          <w:rFonts w:cs="Times New Roman"/>
          <w:color w:val="000000" w:themeColor="text1"/>
          <w:sz w:val="24"/>
          <w:szCs w:val="24"/>
        </w:rPr>
      </w:pPr>
      <w:r w:rsidRPr="00E31275">
        <w:rPr>
          <w:rFonts w:cs="Times New Roman"/>
          <w:color w:val="000000" w:themeColor="text1"/>
          <w:sz w:val="24"/>
          <w:szCs w:val="24"/>
        </w:rPr>
        <w:t>Consistency: settlement is permitted only after approval; rejection and return actions require reasons; permissions are role-based.</w:t>
      </w:r>
    </w:p>
    <w:p w14:paraId="75585506" w14:textId="77777777" w:rsidR="00167833" w:rsidRPr="00E31275" w:rsidRDefault="004110D3" w:rsidP="000C0EBC">
      <w:pPr>
        <w:pStyle w:val="ListBullet"/>
        <w:spacing w:after="20" w:line="360" w:lineRule="auto"/>
        <w:rPr>
          <w:rFonts w:cs="Times New Roman"/>
          <w:color w:val="000000" w:themeColor="text1"/>
          <w:sz w:val="24"/>
          <w:szCs w:val="24"/>
        </w:rPr>
      </w:pPr>
      <w:r w:rsidRPr="00E31275">
        <w:rPr>
          <w:rFonts w:cs="Times New Roman"/>
          <w:color w:val="000000" w:themeColor="text1"/>
          <w:sz w:val="24"/>
          <w:szCs w:val="24"/>
        </w:rPr>
        <w:t>Operational validation: conduct walkthroughs with claims staff and representative customers before finalizing workflows.</w:t>
      </w:r>
    </w:p>
    <w:p w14:paraId="02B0ED1D" w14:textId="77777777" w:rsidR="00447869" w:rsidRDefault="00447869" w:rsidP="000C0EBC">
      <w:pPr>
        <w:pStyle w:val="Heading2"/>
        <w:spacing w:line="360" w:lineRule="auto"/>
        <w:rPr>
          <w:rFonts w:ascii="Times New Roman" w:hAnsi="Times New Roman" w:cs="Times New Roman"/>
          <w:color w:val="000000" w:themeColor="text1"/>
          <w:szCs w:val="24"/>
        </w:rPr>
      </w:pPr>
    </w:p>
    <w:p w14:paraId="58C2CA74" w14:textId="6DE198D4" w:rsidR="00167833" w:rsidRPr="00E31275" w:rsidRDefault="004110D3" w:rsidP="000C0EBC">
      <w:pPr>
        <w:pStyle w:val="Heading2"/>
        <w:spacing w:line="360" w:lineRule="auto"/>
        <w:rPr>
          <w:rFonts w:ascii="Times New Roman" w:hAnsi="Times New Roman" w:cs="Times New Roman"/>
          <w:color w:val="000000" w:themeColor="text1"/>
          <w:szCs w:val="24"/>
        </w:rPr>
      </w:pPr>
      <w:r w:rsidRPr="00E31275">
        <w:rPr>
          <w:rFonts w:ascii="Times New Roman" w:hAnsi="Times New Roman" w:cs="Times New Roman"/>
          <w:color w:val="000000" w:themeColor="text1"/>
          <w:szCs w:val="24"/>
        </w:rPr>
        <w:t>9.3 Risks and Mitigations</w:t>
      </w:r>
    </w:p>
    <w:tbl>
      <w:tblPr>
        <w:tblStyle w:val="TableGrid"/>
        <w:tblW w:w="0" w:type="auto"/>
        <w:jc w:val="center"/>
        <w:tblLook w:val="04A0" w:firstRow="1" w:lastRow="0" w:firstColumn="1" w:lastColumn="0" w:noHBand="0" w:noVBand="1"/>
      </w:tblPr>
      <w:tblGrid>
        <w:gridCol w:w="3168"/>
        <w:gridCol w:w="6264"/>
      </w:tblGrid>
      <w:tr w:rsidR="00167833" w:rsidRPr="00E31275" w14:paraId="32BE88D4" w14:textId="77777777">
        <w:trPr>
          <w:jc w:val="center"/>
        </w:trPr>
        <w:tc>
          <w:tcPr>
            <w:tcW w:w="3168" w:type="dxa"/>
            <w:shd w:val="clear" w:color="auto" w:fill="D9EAF7"/>
          </w:tcPr>
          <w:p w14:paraId="43DDA6F9" w14:textId="77777777" w:rsidR="00167833" w:rsidRPr="00E31275" w:rsidRDefault="004110D3" w:rsidP="000C0EBC">
            <w:pPr>
              <w:spacing w:line="360" w:lineRule="auto"/>
              <w:rPr>
                <w:rFonts w:cs="Times New Roman"/>
                <w:color w:val="000000" w:themeColor="text1"/>
                <w:sz w:val="24"/>
                <w:szCs w:val="24"/>
              </w:rPr>
            </w:pPr>
            <w:r w:rsidRPr="00E31275">
              <w:rPr>
                <w:rFonts w:cs="Times New Roman"/>
                <w:b/>
                <w:color w:val="000000" w:themeColor="text1"/>
                <w:sz w:val="24"/>
                <w:szCs w:val="24"/>
              </w:rPr>
              <w:t>Risk</w:t>
            </w:r>
          </w:p>
        </w:tc>
        <w:tc>
          <w:tcPr>
            <w:tcW w:w="6264" w:type="dxa"/>
            <w:shd w:val="clear" w:color="auto" w:fill="D9EAF7"/>
          </w:tcPr>
          <w:p w14:paraId="295B6857" w14:textId="77777777" w:rsidR="00167833" w:rsidRPr="00E31275" w:rsidRDefault="004110D3" w:rsidP="000C0EBC">
            <w:pPr>
              <w:spacing w:line="360" w:lineRule="auto"/>
              <w:rPr>
                <w:rFonts w:cs="Times New Roman"/>
                <w:color w:val="000000" w:themeColor="text1"/>
                <w:sz w:val="24"/>
                <w:szCs w:val="24"/>
              </w:rPr>
            </w:pPr>
            <w:r w:rsidRPr="00E31275">
              <w:rPr>
                <w:rFonts w:cs="Times New Roman"/>
                <w:b/>
                <w:color w:val="000000" w:themeColor="text1"/>
                <w:sz w:val="24"/>
                <w:szCs w:val="24"/>
              </w:rPr>
              <w:t>Mitigation</w:t>
            </w:r>
          </w:p>
        </w:tc>
      </w:tr>
      <w:tr w:rsidR="00167833" w:rsidRPr="00E31275" w14:paraId="7D14E725" w14:textId="77777777">
        <w:trPr>
          <w:jc w:val="center"/>
        </w:trPr>
        <w:tc>
          <w:tcPr>
            <w:tcW w:w="3168" w:type="dxa"/>
            <w:vAlign w:val="center"/>
          </w:tcPr>
          <w:p w14:paraId="529401D5"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Incomplete or illegible evidence</w:t>
            </w:r>
          </w:p>
        </w:tc>
        <w:tc>
          <w:tcPr>
            <w:tcW w:w="6264" w:type="dxa"/>
            <w:vAlign w:val="center"/>
          </w:tcPr>
          <w:p w14:paraId="131739E6"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Checklist, upload validation, clear requests for missing information.</w:t>
            </w:r>
          </w:p>
        </w:tc>
      </w:tr>
      <w:tr w:rsidR="00167833" w:rsidRPr="00E31275" w14:paraId="56887EE4" w14:textId="77777777">
        <w:trPr>
          <w:jc w:val="center"/>
        </w:trPr>
        <w:tc>
          <w:tcPr>
            <w:tcW w:w="3168" w:type="dxa"/>
            <w:vAlign w:val="center"/>
          </w:tcPr>
          <w:p w14:paraId="25F4784B"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Incorrect automated flag</w:t>
            </w:r>
          </w:p>
        </w:tc>
        <w:tc>
          <w:tcPr>
            <w:tcW w:w="6264" w:type="dxa"/>
            <w:vAlign w:val="center"/>
          </w:tcPr>
          <w:p w14:paraId="2EB7A6D8"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Human review, explainable indicators, monitoring, and no automatic rejection.</w:t>
            </w:r>
          </w:p>
        </w:tc>
      </w:tr>
      <w:tr w:rsidR="00167833" w:rsidRPr="00E31275" w14:paraId="505F8F12" w14:textId="77777777">
        <w:trPr>
          <w:jc w:val="center"/>
        </w:trPr>
        <w:tc>
          <w:tcPr>
            <w:tcW w:w="3168" w:type="dxa"/>
            <w:vAlign w:val="center"/>
          </w:tcPr>
          <w:p w14:paraId="4D78C32C"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Unauthorized disclosure</w:t>
            </w:r>
          </w:p>
        </w:tc>
        <w:tc>
          <w:tcPr>
            <w:tcW w:w="6264" w:type="dxa"/>
            <w:vAlign w:val="center"/>
          </w:tcPr>
          <w:p w14:paraId="2CE460BA"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Least privilege, encryption, access logs, secure file links, and periodic access review.</w:t>
            </w:r>
          </w:p>
        </w:tc>
      </w:tr>
      <w:tr w:rsidR="00167833" w:rsidRPr="00E31275" w14:paraId="2E4D06BF" w14:textId="77777777">
        <w:trPr>
          <w:jc w:val="center"/>
        </w:trPr>
        <w:tc>
          <w:tcPr>
            <w:tcW w:w="3168" w:type="dxa"/>
            <w:vAlign w:val="center"/>
          </w:tcPr>
          <w:p w14:paraId="7D0074A9"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Workflow misconfiguration</w:t>
            </w:r>
          </w:p>
        </w:tc>
        <w:tc>
          <w:tcPr>
            <w:tcW w:w="6264" w:type="dxa"/>
            <w:vAlign w:val="center"/>
          </w:tcPr>
          <w:p w14:paraId="15887068"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Versioned configurations, test environment, approval before activation, rollback.</w:t>
            </w:r>
          </w:p>
        </w:tc>
      </w:tr>
      <w:tr w:rsidR="00167833" w:rsidRPr="00E31275" w14:paraId="3B780E63" w14:textId="77777777">
        <w:trPr>
          <w:jc w:val="center"/>
        </w:trPr>
        <w:tc>
          <w:tcPr>
            <w:tcW w:w="3168" w:type="dxa"/>
            <w:vAlign w:val="center"/>
          </w:tcPr>
          <w:p w14:paraId="5C08935E"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Integration outage</w:t>
            </w:r>
          </w:p>
        </w:tc>
        <w:tc>
          <w:tcPr>
            <w:tcW w:w="6264" w:type="dxa"/>
            <w:vAlign w:val="center"/>
          </w:tcPr>
          <w:p w14:paraId="500A7003" w14:textId="77777777" w:rsidR="00167833" w:rsidRPr="00E31275" w:rsidRDefault="004110D3" w:rsidP="000C0EBC">
            <w:pPr>
              <w:spacing w:after="20" w:line="360" w:lineRule="auto"/>
              <w:rPr>
                <w:rFonts w:cs="Times New Roman"/>
                <w:color w:val="000000" w:themeColor="text1"/>
                <w:sz w:val="24"/>
                <w:szCs w:val="24"/>
              </w:rPr>
            </w:pPr>
            <w:r w:rsidRPr="00E31275">
              <w:rPr>
                <w:rFonts w:cs="Times New Roman"/>
                <w:color w:val="000000" w:themeColor="text1"/>
                <w:sz w:val="24"/>
                <w:szCs w:val="24"/>
              </w:rPr>
              <w:t>Retry queues, clear user messaging, reconciliation reports, and manual fallback where approved.</w:t>
            </w:r>
          </w:p>
        </w:tc>
      </w:tr>
    </w:tbl>
    <w:p w14:paraId="07CCCA01" w14:textId="77777777" w:rsidR="00167833" w:rsidRPr="00E31275" w:rsidRDefault="00167833" w:rsidP="000C0EBC">
      <w:pPr>
        <w:spacing w:after="0" w:line="360" w:lineRule="auto"/>
        <w:rPr>
          <w:rFonts w:cs="Times New Roman"/>
          <w:color w:val="000000" w:themeColor="text1"/>
          <w:sz w:val="24"/>
          <w:szCs w:val="24"/>
        </w:rPr>
      </w:pPr>
    </w:p>
    <w:p w14:paraId="566E3A44" w14:textId="77777777" w:rsidR="00167833" w:rsidRPr="00E31275" w:rsidRDefault="004110D3" w:rsidP="000C0EBC">
      <w:pPr>
        <w:pStyle w:val="Heading2"/>
        <w:spacing w:line="360" w:lineRule="auto"/>
        <w:rPr>
          <w:rFonts w:ascii="Times New Roman" w:hAnsi="Times New Roman" w:cs="Times New Roman"/>
          <w:color w:val="000000" w:themeColor="text1"/>
          <w:szCs w:val="24"/>
        </w:rPr>
      </w:pPr>
      <w:r w:rsidRPr="00E31275">
        <w:rPr>
          <w:rFonts w:ascii="Times New Roman" w:hAnsi="Times New Roman" w:cs="Times New Roman"/>
          <w:color w:val="000000" w:themeColor="text1"/>
          <w:szCs w:val="24"/>
        </w:rPr>
        <w:t>9.4 Conclusion</w:t>
      </w:r>
    </w:p>
    <w:p w14:paraId="2819C204" w14:textId="2E461AF8" w:rsidR="00167833" w:rsidRPr="00E31275" w:rsidRDefault="004110D3" w:rsidP="00E31275">
      <w:pPr>
        <w:spacing w:line="360" w:lineRule="auto"/>
        <w:rPr>
          <w:rFonts w:cs="Times New Roman"/>
          <w:sz w:val="24"/>
          <w:szCs w:val="24"/>
        </w:rPr>
      </w:pPr>
      <w:r w:rsidRPr="000C0EBC">
        <w:rPr>
          <w:rFonts w:cs="Times New Roman"/>
          <w:sz w:val="24"/>
          <w:szCs w:val="24"/>
        </w:rPr>
        <w:t>The proposed Intelligent Insurance Claim Management System provides a structured digital workflow from claim submission to settlement and reporting. Its core value is traceability: policy details, documents, assignments, assessments, decisions, and payments are linked to a complete claim history. Configurable workflows and carefully governed decision-support analytics can improve speed and transparency while keeping final decisions accountable to authorized personnel.</w:t>
      </w:r>
    </w:p>
    <w:sectPr w:rsidR="00167833" w:rsidRPr="00E31275" w:rsidSect="00034616">
      <w:headerReference w:type="default" r:id="rId11"/>
      <w:footerReference w:type="default" r:id="rId12"/>
      <w:pgSz w:w="12240" w:h="15840"/>
      <w:pgMar w:top="792"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8A737" w14:textId="77777777" w:rsidR="00B7023C" w:rsidRDefault="00B7023C">
      <w:pPr>
        <w:spacing w:after="0" w:line="240" w:lineRule="auto"/>
      </w:pPr>
      <w:r>
        <w:separator/>
      </w:r>
    </w:p>
  </w:endnote>
  <w:endnote w:type="continuationSeparator" w:id="0">
    <w:p w14:paraId="6ABDE731" w14:textId="77777777" w:rsidR="00B7023C" w:rsidRDefault="00B70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CE33" w14:textId="06C2431E" w:rsidR="00167833" w:rsidRDefault="0016783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AF2A" w14:textId="77777777" w:rsidR="00B7023C" w:rsidRDefault="00B7023C">
      <w:pPr>
        <w:spacing w:after="0" w:line="240" w:lineRule="auto"/>
      </w:pPr>
      <w:r>
        <w:separator/>
      </w:r>
    </w:p>
  </w:footnote>
  <w:footnote w:type="continuationSeparator" w:id="0">
    <w:p w14:paraId="6DD28C3A" w14:textId="77777777" w:rsidR="00B7023C" w:rsidRDefault="00B70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3FD7B" w14:textId="31EA6B5A" w:rsidR="00167833" w:rsidRDefault="0016783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703363">
    <w:abstractNumId w:val="8"/>
  </w:num>
  <w:num w:numId="2" w16cid:durableId="1599555400">
    <w:abstractNumId w:val="6"/>
  </w:num>
  <w:num w:numId="3" w16cid:durableId="1222329804">
    <w:abstractNumId w:val="5"/>
  </w:num>
  <w:num w:numId="4" w16cid:durableId="1126121145">
    <w:abstractNumId w:val="4"/>
  </w:num>
  <w:num w:numId="5" w16cid:durableId="2017151481">
    <w:abstractNumId w:val="7"/>
  </w:num>
  <w:num w:numId="6" w16cid:durableId="614824341">
    <w:abstractNumId w:val="3"/>
  </w:num>
  <w:num w:numId="7" w16cid:durableId="407121346">
    <w:abstractNumId w:val="2"/>
  </w:num>
  <w:num w:numId="8" w16cid:durableId="1242450394">
    <w:abstractNumId w:val="1"/>
  </w:num>
  <w:num w:numId="9" w16cid:durableId="357389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EBC"/>
    <w:rsid w:val="0015074B"/>
    <w:rsid w:val="00167833"/>
    <w:rsid w:val="00190EA0"/>
    <w:rsid w:val="0029639D"/>
    <w:rsid w:val="00326F90"/>
    <w:rsid w:val="00390D2D"/>
    <w:rsid w:val="004110D3"/>
    <w:rsid w:val="00447869"/>
    <w:rsid w:val="004F120E"/>
    <w:rsid w:val="007B654A"/>
    <w:rsid w:val="00892686"/>
    <w:rsid w:val="00AA1D8D"/>
    <w:rsid w:val="00B47730"/>
    <w:rsid w:val="00B7023C"/>
    <w:rsid w:val="00CA6135"/>
    <w:rsid w:val="00CB0664"/>
    <w:rsid w:val="00E31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E3C12"/>
  <w14:defaultImageDpi w14:val="300"/>
  <w15:docId w15:val="{0466D697-49E3-4443-8840-71E1D208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2188</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Riyaz Kamal</cp:lastModifiedBy>
  <cp:revision>2</cp:revision>
  <dcterms:created xsi:type="dcterms:W3CDTF">2026-10-27T08:40:00Z</dcterms:created>
  <dcterms:modified xsi:type="dcterms:W3CDTF">2026-10-27T08:40:00Z</dcterms:modified>
  <cp:category/>
</cp:coreProperties>
</file>