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anchor distT="0" distB="0" distL="0" distR="0" simplePos="0" allowOverlap="1" behindDoc="1" locked="0" layoutInCell="1" relativeHeight="8020050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667375" cy="80200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8020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600"/>
      </w:pPr>
    </w:p>
    <w:p>
      <w:pPr>
        <w:spacing w:after="120"/>
      </w:pPr>
      <w:r>
        <w:rPr>
          <w:rFonts w:ascii="Inter" w:cs="Inter" w:eastAsia="Inter" w:hAnsi="Inter"/>
          <w:b/>
          <w:bCs/>
          <w:color w:val="CADCFC"/>
          <w:spacing w:val="120"/>
          <w:sz w:val="20"/>
          <w:szCs w:val="20"/>
        </w:rPr>
        <w:t xml:space="preserve">АНАЛИТИЧЕСКИЙ ОТЧЁТ</w:t>
      </w:r>
    </w:p>
    <w:p>
      <w:pPr>
        <w:pStyle w:val="Title"/>
        <w:spacing w:after="160"/>
      </w:pPr>
      <w:r>
        <w:rPr>
          <w:rFonts w:ascii="Inter" w:cs="Inter" w:eastAsia="Inter" w:hAnsi="Inter"/>
          <w:b/>
          <w:bCs/>
          <w:color w:val="FFFFFF"/>
          <w:sz w:val="52"/>
          <w:szCs w:val="52"/>
        </w:rPr>
        <w:t xml:space="preserve">Модернизация сети накопителей энергии</w:t>
      </w:r>
    </w:p>
    <w:p>
      <w:pPr>
        <w:spacing w:after="2400"/>
      </w:pPr>
      <w:r>
        <w:rPr>
          <w:rFonts w:ascii="PT Serif" w:cs="PT Serif" w:eastAsia="PT Serif" w:hAnsi="PT Serif"/>
          <w:color w:val="CADCFC"/>
          <w:sz w:val="26"/>
          <w:szCs w:val="26"/>
        </w:rPr>
        <w:t xml:space="preserve">Оценка инвестиционной программы на 2026–2030 годы</w:t>
      </w:r>
    </w:p>
    <w:p>
      <w:r>
        <w:rPr>
          <w:rFonts w:ascii="Inter" w:cs="Inter" w:eastAsia="Inter" w:hAnsi="Inter"/>
          <w:color w:val="CADCFC"/>
          <w:sz w:val="19"/>
          <w:szCs w:val="19"/>
        </w:rPr>
        <w:t xml:space="preserve">Департамент стратегического развития</w:t>
      </w:r>
    </w:p>
    <w:p>
      <w:r>
        <w:rPr>
          <w:rFonts w:ascii="Inter" w:cs="Inter" w:eastAsia="Inter" w:hAnsi="Inter"/>
          <w:color w:val="CADCFC"/>
          <w:sz w:val="19"/>
          <w:szCs w:val="19"/>
        </w:rPr>
        <w:t xml:space="preserve">16 августа 2026 года · Конфиденциально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titlePg/>
          <w:docGrid w:linePitch="360"/>
        </w:sectPr>
      </w:pPr>
    </w:p>
    <w:p>
      <w:pPr>
        <w:pStyle w:val="Heading1"/>
      </w:pPr>
      <w: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footerReference w:type="default" r:id="rId7"/>
          <w:type w:val="nextPage"/>
          <w:pgSz w:w="11906" w:h="16838" w:orient="portrait"/>
          <w:pgMar w:top="1134" w:right="1134" w:bottom="1134" w:left="1134" w:header="708" w:footer="708" w:gutter="0"/>
          <w:pgNumType w:start="1" w:fmt="lowerRoman"/>
          <w:docGrid w:linePitch="360"/>
        </w:sectPr>
      </w:pPr>
    </w:p>
    <w:p>
      <w:pPr>
        <w:pStyle w:val="Heading1"/>
      </w:pPr>
      <w:bookmarkStart w:name="summary" w:id="1"/>
      <w:r>
        <w:rPr>
          <w:rFonts w:ascii="Inter" w:cs="Inter" w:eastAsia="Inter" w:hAnsi="Inter"/>
          <w:b/>
          <w:bCs/>
          <w:color w:val="1E2761"/>
          <w:sz w:val="30"/>
          <w:szCs w:val="30"/>
        </w:rPr>
        <w:t xml:space="preserve">Резюме для руководства</w:t>
      </w:r>
      <w:bookmarkEnd w:id="1"/>
    </w:p>
    <w:p>
      <w:pPr>
        <w:pStyle w:val="Callout"/>
      </w:pPr>
      <w:r>
        <w:rPr>
          <w:rFonts w:ascii="Inter" w:cs="Inter" w:eastAsia="Inter" w:hAnsi="Inter"/>
          <w:color w:val="1E2761"/>
          <w:sz w:val="21"/>
          <w:szCs w:val="21"/>
        </w:rPr>
        <w:t xml:space="preserve">Программа окупается за 4,1 года и создаёт стоимость при базовом сценарии, однако запас прочности невелик: NPV без учёта терминальной стоимости составляет 83 млн ₽, а спред IRR к стоимости капитала — всего 1,5 п.п.</w:t>
      </w:r>
    </w:p>
    <w:p>
      <w:pPr>
        <w:spacing w:after="140" w:line="300"/>
        <w:jc w:val="both"/>
      </w:pPr>
      <w:r>
        <w:rPr>
          <w:rFonts w:ascii="PT Serif" w:cs="PT Serif" w:eastAsia="PT Serif" w:hAnsi="PT Serif"/>
          <w:color w:val="1F2933"/>
          <w:sz w:val="22"/>
          <w:szCs w:val="22"/>
        </w:rPr>
        <w:t xml:space="preserve">Рынок промышленных накопителей энергии вырос на 16,9 % за последние двенадцать месяцев, и мы ожидаем сохранения двузначных темпов до конца десятилетия</w:t>
      </w:r>
      <w:r>
        <w:rPr>
          <w:rStyle w:val="FootnoteReference"/>
        </w:rPr>
        <w:footnoteReference w:id="1"/>
      </w:r>
      <w:r>
        <w:rPr>
          <w:rFonts w:ascii="PT Serif" w:cs="PT Serif" w:eastAsia="PT Serif" w:hAnsi="PT Serif"/>
          <w:color w:val="1F2933"/>
          <w:sz w:val="22"/>
          <w:szCs w:val="22"/>
        </w:rPr>
        <w:t xml:space="preserve">. Инвестиционная программа предполагает капитальные затраты в объёме 4,35 млрд ₽, распределённые на пять лет, с максимумом в первый год.</w:t>
      </w:r>
    </w:p>
    <w:p>
      <w:pPr>
        <w:spacing w:after="140" w:line="300"/>
        <w:jc w:val="both"/>
      </w:pPr>
      <w:r>
        <w:rPr>
          <w:rFonts w:ascii="PT Serif" w:cs="PT Serif" w:eastAsia="PT Serif" w:hAnsi="PT Serif"/>
          <w:color w:val="1F2933"/>
          <w:sz w:val="22"/>
          <w:szCs w:val="22"/>
        </w:rPr>
        <w:t xml:space="preserve">Совет директоров рассматривает программу на заседании </w:t>
      </w:r>
      <w:del w:id="101" w:author="Секретариат" w:date="2026-08-14T09:00:00Z">
        <w:r>
          <w:rPr>
            <w:rFonts w:ascii="PT Serif" w:cs="PT Serif" w:eastAsia="PT Serif" w:hAnsi="PT Serif"/>
            <w:sz w:val="22"/>
            <w:szCs w:val="22"/>
          </w:rPr>
          <w:delText xml:space="preserve">15 сентября</w:delText>
        </w:r>
      </w:del>
      <w:ins w:id="102" w:author="Секретариат" w:date="2026-08-14T09:00:00Z">
        <w:r>
          <w:rPr>
            <w:rFonts w:ascii="PT Serif" w:cs="PT Serif" w:eastAsia="PT Serif" w:hAnsi="PT Serif"/>
            <w:sz w:val="22"/>
            <w:szCs w:val="22"/>
          </w:rPr>
          <w:t xml:space="preserve">29 сентября</w:t>
        </w:r>
      </w:ins>
      <w:r>
        <w:rPr>
          <w:rFonts w:ascii="PT Serif" w:cs="PT Serif" w:eastAsia="PT Serif" w:hAnsi="PT Serif"/>
          <w:color w:val="1F2933"/>
          <w:sz w:val="22"/>
          <w:szCs w:val="22"/>
        </w:rPr>
        <w:t xml:space="preserve"> 2026 года. Решение требует квалифицированного большинства.</w:t>
      </w:r>
    </w:p>
    <w:p>
      <w:pPr>
        <w:spacing w:after="140" w:line="300"/>
        <w:jc w:val="both"/>
      </w:pPr>
      <w:r>
        <w:rPr>
          <w:rFonts w:ascii="PT Serif" w:cs="PT Serif" w:eastAsia="PT Serif" w:hAnsi="PT Serif"/>
          <w:color w:val="1F2933"/>
          <w:sz w:val="22"/>
          <w:szCs w:val="22"/>
        </w:rPr>
        <w:t xml:space="preserve">Финансирование предполагается за счёт комбинации собственных средств и целевого кредита. </w:t>
      </w:r>
      <w:commentRangeStart w:id="1"/>
      <w:r>
        <w:rPr>
          <w:rFonts w:ascii="PT Serif" w:cs="PT Serif" w:eastAsia="PT Serif" w:hAnsi="PT Serif"/>
          <w:color w:val="1F2933"/>
          <w:sz w:val="22"/>
          <w:szCs w:val="22"/>
        </w:rPr>
        <w:t xml:space="preserve">Стоимость долга принята на уровне 11,5 % годовых</w:t>
      </w:r>
      <w:commentRangeEnd w:id="1"/>
      <w:r>
        <w:commentReference w:id="1"/>
      </w:r>
      <w:r>
        <w:rPr>
          <w:rFonts w:ascii="PT Serif" w:cs="PT Serif" w:eastAsia="PT Serif" w:hAnsi="PT Serif"/>
          <w:color w:val="1F2933"/>
          <w:sz w:val="22"/>
          <w:szCs w:val="22"/>
        </w:rPr>
        <w:t xml:space="preserve">, что соответствует текущим условиям для заёмщиков нашего кредитного качества.</w:t>
      </w:r>
    </w:p>
    <w:p>
      <w:pPr>
        <w:pStyle w:val="Heading2"/>
      </w:pPr>
      <w:r>
        <w:t xml:space="preserve">Ключевые выводы</w:t>
      </w:r>
    </w:p>
    <w:p>
      <w:pPr>
        <w:pStyle w:val="ListParagraph"/>
        <w:numPr>
          <w:ilvl w:val="0"/>
          <w:numId w:val="2"/>
        </w:numPr>
      </w:pPr>
      <w:r>
        <w:rPr>
          <w:rFonts w:ascii="PT Serif" w:cs="PT Serif" w:eastAsia="PT Serif" w:hAnsi="PT Serif"/>
          <w:color w:val="1F2933"/>
          <w:sz w:val="22"/>
          <w:szCs w:val="22"/>
        </w:rPr>
        <w:t xml:space="preserve">Программа экономически обоснована.</w:t>
      </w:r>
    </w:p>
    <w:p>
      <w:pPr>
        <w:pStyle w:val="ListParagraph"/>
        <w:numPr>
          <w:ilvl w:val="1"/>
          <w:numId w:val="2"/>
        </w:numPr>
      </w:pPr>
      <w:r>
        <w:rPr>
          <w:rFonts w:ascii="PT Serif" w:cs="PT Serif" w:eastAsia="PT Serif" w:hAnsi="PT Serif"/>
          <w:color w:val="1F2933"/>
          <w:sz w:val="22"/>
          <w:szCs w:val="22"/>
        </w:rPr>
        <w:t xml:space="preserve">NPV базового сценария составляет 83 млн ₽ при ставке дисконтирования 12,1 %.</w:t>
      </w:r>
    </w:p>
    <w:p>
      <w:pPr>
        <w:pStyle w:val="ListParagraph"/>
        <w:numPr>
          <w:ilvl w:val="1"/>
          <w:numId w:val="2"/>
        </w:numPr>
      </w:pPr>
      <w:r>
        <w:rPr>
          <w:rFonts w:ascii="PT Serif" w:cs="PT Serif" w:eastAsia="PT Serif" w:hAnsi="PT Serif"/>
          <w:color w:val="1F2933"/>
          <w:sz w:val="22"/>
          <w:szCs w:val="22"/>
        </w:rPr>
        <w:t xml:space="preserve">IRR равна 13,6 %, что превышает стоимость капитала на 1,5 п.п.</w:t>
      </w:r>
    </w:p>
    <w:p>
      <w:pPr>
        <w:pStyle w:val="ListParagraph"/>
        <w:numPr>
          <w:ilvl w:val="2"/>
          <w:numId w:val="2"/>
        </w:numPr>
      </w:pPr>
      <w:r>
        <w:rPr>
          <w:rFonts w:ascii="PT Serif" w:cs="PT Serif" w:eastAsia="PT Serif" w:hAnsi="PT Serif"/>
          <w:color w:val="1F2933"/>
          <w:sz w:val="22"/>
          <w:szCs w:val="22"/>
        </w:rPr>
        <w:t xml:space="preserve">Порог равен WACC и пересматривается ежеквартально инвестиционным комитетом.</w:t>
      </w:r>
    </w:p>
    <w:p>
      <w:pPr>
        <w:pStyle w:val="ListParagraph"/>
        <w:numPr>
          <w:ilvl w:val="0"/>
          <w:numId w:val="2"/>
        </w:numPr>
      </w:pPr>
      <w:r>
        <w:rPr>
          <w:rFonts w:ascii="PT Serif" w:cs="PT Serif" w:eastAsia="PT Serif" w:hAnsi="PT Serif"/>
          <w:color w:val="1F2933"/>
          <w:sz w:val="22"/>
          <w:szCs w:val="22"/>
        </w:rPr>
        <w:t xml:space="preserve">Основные риски — сроки поставки и узкий запас по доходности.</w:t>
      </w:r>
    </w:p>
    <w:p>
      <w:pPr>
        <w:pStyle w:val="ListParagraph"/>
        <w:numPr>
          <w:ilvl w:val="1"/>
          <w:numId w:val="2"/>
        </w:numPr>
      </w:pPr>
      <w:commentRangeStart w:id="2"/>
      <w:r>
        <w:rPr>
          <w:rFonts w:ascii="PT Serif" w:cs="PT Serif" w:eastAsia="PT Serif" w:hAnsi="PT Serif"/>
          <w:color w:val="1F2933"/>
          <w:sz w:val="22"/>
          <w:szCs w:val="22"/>
        </w:rPr>
        <w:t xml:space="preserve">Контейнерные накопители имеют цикл поставки 34 недели.</w:t>
      </w:r>
      <w:commentRangeEnd w:id="2"/>
      <w:r>
        <w:commentReference w:id="2"/>
      </w:r>
    </w:p>
    <w:p>
      <w:pPr>
        <w:pStyle w:val="Heading1"/>
        <w:pageBreakBefore/>
      </w:pPr>
      <w:r>
        <w:t xml:space="preserve">Состояние рынка</w:t>
      </w:r>
    </w:p>
    <w:p>
      <w:pPr>
        <w:spacing w:after="140" w:line="300"/>
        <w:jc w:val="both"/>
      </w:pPr>
      <w:r>
        <w:rPr>
          <w:rFonts w:ascii="PT Serif" w:cs="PT Serif" w:eastAsia="PT Serif" w:hAnsi="PT Serif"/>
          <w:color w:val="1F2933"/>
          <w:sz w:val="22"/>
          <w:szCs w:val="22"/>
        </w:rPr>
        <w:t xml:space="preserve">Отрасль проходит фазу ускоренной консолидации. Три крупнейших игрока контролируют 54 % поставок промышленных систем, однако сегмент сервисных контрактов остаётся фрагментированным, что открывает возможность для органического роста без крупных приобретений.</w:t>
      </w:r>
    </w:p>
    <w:p>
      <w:pPr>
        <w:spacing w:after="40" w:before="160"/>
        <w:jc w:val="center"/>
      </w:pPr>
      <w:r>
        <w:drawing>
          <wp:inline distT="0" distB="0" distL="0" distR="0">
            <wp:extent cx="4191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40" w:before="80"/>
      </w:pPr>
      <w:r>
        <w:rPr>
          <w:rFonts w:ascii="Inter" w:cs="Inter" w:eastAsia="Inter" w:hAnsi="Inter"/>
          <w:i/>
          <w:iCs/>
          <w:color w:val="667085"/>
          <w:sz w:val="17"/>
          <w:szCs w:val="17"/>
        </w:rPr>
        <w:t xml:space="preserve">Рисунок 1. Площадка контейнерных накопителей после модернизации первой очереди.</w:t>
      </w:r>
    </w:p>
    <w:p>
      <w:pPr>
        <w:pStyle w:val="Heading2"/>
      </w:pPr>
      <w:r>
        <w:t xml:space="preserve">Структура выручки по сегментам</w:t>
      </w:r>
    </w:p>
    <w:p>
      <w:pPr>
        <w:spacing w:after="140" w:line="300"/>
        <w:jc w:val="both"/>
      </w:pPr>
      <w:r>
        <w:rPr>
          <w:rFonts w:ascii="PT Serif" w:cs="PT Serif" w:eastAsia="PT Serif" w:hAnsi="PT Serif"/>
          <w:color w:val="1F2933"/>
          <w:sz w:val="22"/>
          <w:szCs w:val="22"/>
        </w:rPr>
        <w:t xml:space="preserve">Наибольший вклад в прирост даёт промышленный сегмент. Совокупный среднегодовой темп роста по портфелю составляет 16,5 %</w:t>
      </w:r>
      <w:r>
        <w:rPr>
          <w:rStyle w:val="FootnoteReference"/>
        </w:rPr>
        <w:footnoteReference w:id="2"/>
      </w:r>
      <w:r>
        <w:rPr>
          <w:rFonts w:ascii="PT Serif" w:cs="PT Serif" w:eastAsia="PT Serif" w:hAnsi="PT Serif"/>
          <w:color w:val="1F2933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D5D9E0" w:sz="2"/>
          <w:left w:val="none" w:color="FFFFFF" w:sz="0"/>
          <w:bottom w:val="single" w:color="D5D9E0" w:sz="2"/>
          <w:right w:val="none" w:color="FFFFFF" w:sz="0"/>
          <w:insideH w:val="single" w:color="D5D9E0" w:sz="2"/>
          <w:insideV w:val="none" w:color="FFFFFF" w:sz="0"/>
        </w:tblBorders>
      </w:tblPr>
      <w:tblGrid>
        <w:gridCol w:w="1735"/>
        <w:gridCol w:w="2891"/>
        <w:gridCol w:w="1253"/>
        <w:gridCol w:w="1253"/>
        <w:gridCol w:w="1253"/>
        <w:gridCol w:w="1253"/>
      </w:tblGrid>
      <w:tr>
        <w:trPr>
          <w:tblHeader/>
          <w:trHeight w:val="560" w:hRule="atLeast"/>
        </w:trPr>
        <w:tc>
          <w:tcPr>
            <w:tcW w:type="dxa" w:w="1735"/>
            <w:shd w:fill="1E276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Сегмент</w:t>
            </w:r>
          </w:p>
        </w:tc>
        <w:tc>
          <w:tcPr>
            <w:tcW w:type="dxa" w:w="2891"/>
            <w:shd w:fill="1E276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Направление</w:t>
            </w:r>
          </w:p>
        </w:tc>
        <w:tc>
          <w:tcPr>
            <w:tcW w:type="dxa" w:w="1253"/>
            <w:shd w:fill="1E276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2025</w:t>
            </w:r>
          </w:p>
        </w:tc>
        <w:tc>
          <w:tcPr>
            <w:tcW w:type="dxa" w:w="1253"/>
            <w:shd w:fill="1E276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2026П</w:t>
            </w:r>
          </w:p>
        </w:tc>
        <w:tc>
          <w:tcPr>
            <w:tcW w:type="dxa" w:w="1253"/>
            <w:shd w:fill="1E276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Δ, %</w:t>
            </w:r>
          </w:p>
        </w:tc>
        <w:tc>
          <w:tcPr>
            <w:tcW w:type="dxa" w:w="1253"/>
            <w:shd w:fill="1E276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Класс</w:t>
            </w:r>
          </w:p>
        </w:tc>
      </w:tr>
      <w:tr>
        <w:tc>
          <w:tcPr>
            <w:tcW w:type="dxa" w:w="1735"/>
            <w:vMerge w:val="restart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1E2761"/>
                <w:sz w:val="20"/>
                <w:szCs w:val="20"/>
              </w:rPr>
              <w:t xml:space="preserve">Промышленный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</w:rPr>
              <w:t xml:space="preserve">Контейнерные накопители 2 МВт·ч</w:t>
            </w:r>
          </w:p>
        </w:tc>
        <w:tc>
          <w:tcPr>
            <w:tcW w:type="dxa" w:w="125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</w:rPr>
              <w:t xml:space="preserve">1 240</w:t>
            </w:r>
          </w:p>
        </w:tc>
        <w:tc>
          <w:tcPr>
            <w:tcW w:type="dxa" w:w="125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</w:rPr>
              <w:t xml:space="preserve">1 450</w:t>
            </w:r>
          </w:p>
        </w:tc>
        <w:tc>
          <w:tcPr>
            <w:tcW w:type="dxa" w:w="125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color w:val="4A6FA5"/>
              </w:rPr>
              <w:t xml:space="preserve">+16,9</w:t>
            </w:r>
          </w:p>
        </w:tc>
        <w:tc>
          <w:tcPr>
            <w:tcW w:type="dxa" w:w="125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</w:rPr>
              <w:t xml:space="preserve">A</w:t>
            </w:r>
          </w:p>
        </w:tc>
      </w:tr>
      <w:tr>
        <w:tc>
          <w:tcPr>
            <w:tcW w:type="dxa" w:w="1735"/>
            <w:vMerge w:val="continue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/>
        </w:tc>
        <w:tc>
          <w:tcPr>
            <w:tcW w:type="dxa" w:w="2891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</w:rPr>
              <w:t xml:space="preserve">Модули быстрой зарядки</w:t>
            </w:r>
          </w:p>
        </w:tc>
        <w:tc>
          <w:tcPr>
            <w:tcW w:type="dxa" w:w="1253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</w:rPr>
              <w:t xml:space="preserve">860</w:t>
            </w:r>
          </w:p>
        </w:tc>
        <w:tc>
          <w:tcPr>
            <w:tcW w:type="dxa" w:w="1253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</w:rPr>
              <w:t xml:space="preserve">1 017</w:t>
            </w:r>
          </w:p>
        </w:tc>
        <w:tc>
          <w:tcPr>
            <w:tcW w:type="dxa" w:w="1253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color w:val="4A6FA5"/>
              </w:rPr>
              <w:t xml:space="preserve">+18,3</w:t>
            </w:r>
          </w:p>
        </w:tc>
        <w:tc>
          <w:tcPr>
            <w:tcW w:type="dxa" w:w="1253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</w:rPr>
              <w:t xml:space="preserve">A</w:t>
            </w:r>
          </w:p>
        </w:tc>
      </w:tr>
      <w:tr>
        <w:tc>
          <w:tcPr>
            <w:tcW w:type="dxa" w:w="1735"/>
            <w:vMerge w:val="continue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/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</w:rPr>
              <w:t xml:space="preserve">Сервисные контракты</w:t>
            </w:r>
          </w:p>
        </w:tc>
        <w:tc>
          <w:tcPr>
            <w:tcW w:type="dxa" w:w="125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</w:rPr>
              <w:t xml:space="preserve">415</w:t>
            </w:r>
          </w:p>
        </w:tc>
        <w:tc>
          <w:tcPr>
            <w:tcW w:type="dxa" w:w="125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</w:rPr>
              <w:t xml:space="preserve">458</w:t>
            </w:r>
          </w:p>
        </w:tc>
        <w:tc>
          <w:tcPr>
            <w:tcW w:type="dxa" w:w="125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color w:val="4A6FA5"/>
              </w:rPr>
              <w:t xml:space="preserve">+10,4</w:t>
            </w:r>
          </w:p>
        </w:tc>
        <w:tc>
          <w:tcPr>
            <w:tcW w:type="dxa" w:w="125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</w:rPr>
              <w:t xml:space="preserve">B</w:t>
            </w:r>
          </w:p>
        </w:tc>
      </w:tr>
      <w:tr>
        <w:tc>
          <w:tcPr>
            <w:tcW w:type="dxa" w:w="1735"/>
            <w:vMerge w:val="restart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1E2761"/>
                <w:sz w:val="20"/>
                <w:szCs w:val="20"/>
              </w:rPr>
              <w:t xml:space="preserve">Коммерческий</w:t>
            </w:r>
          </w:p>
        </w:tc>
        <w:tc>
          <w:tcPr>
            <w:tcW w:type="dxa" w:w="2891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</w:rPr>
              <w:t xml:space="preserve">Системы для торговых центров</w:t>
            </w:r>
          </w:p>
        </w:tc>
        <w:tc>
          <w:tcPr>
            <w:tcW w:type="dxa" w:w="1253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</w:rPr>
              <w:t xml:space="preserve">640</w:t>
            </w:r>
          </w:p>
        </w:tc>
        <w:tc>
          <w:tcPr>
            <w:tcW w:type="dxa" w:w="1253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</w:rPr>
              <w:t xml:space="preserve">695</w:t>
            </w:r>
          </w:p>
        </w:tc>
        <w:tc>
          <w:tcPr>
            <w:tcW w:type="dxa" w:w="1253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color w:val="4A6FA5"/>
              </w:rPr>
              <w:t xml:space="preserve">+8,6</w:t>
            </w:r>
          </w:p>
        </w:tc>
        <w:tc>
          <w:tcPr>
            <w:tcW w:type="dxa" w:w="1253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</w:rPr>
              <w:t xml:space="preserve">B</w:t>
            </w:r>
          </w:p>
        </w:tc>
      </w:tr>
      <w:tr>
        <w:tc>
          <w:tcPr>
            <w:tcW w:type="dxa" w:w="1735"/>
            <w:vMerge w:val="continue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/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</w:rPr>
              <w:t xml:space="preserve">Резервное питание ЦОД</w:t>
            </w:r>
          </w:p>
        </w:tc>
        <w:tc>
          <w:tcPr>
            <w:tcW w:type="dxa" w:w="125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</w:rPr>
              <w:t xml:space="preserve">1 105</w:t>
            </w:r>
          </w:p>
        </w:tc>
        <w:tc>
          <w:tcPr>
            <w:tcW w:type="dxa" w:w="125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</w:rPr>
              <w:t xml:space="preserve">1 367</w:t>
            </w:r>
          </w:p>
        </w:tc>
        <w:tc>
          <w:tcPr>
            <w:tcW w:type="dxa" w:w="125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color w:val="4A6FA5"/>
              </w:rPr>
              <w:t xml:space="preserve">+23,7</w:t>
            </w:r>
          </w:p>
        </w:tc>
        <w:tc>
          <w:tcPr>
            <w:tcW w:type="dxa" w:w="125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</w:rPr>
              <w:t xml:space="preserve">A</w:t>
            </w:r>
          </w:p>
        </w:tc>
      </w:tr>
      <w:tr>
        <w:tc>
          <w:tcPr>
            <w:tcW w:type="dxa" w:w="1735"/>
            <w:vMerge w:val="restart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1E2761"/>
                <w:sz w:val="20"/>
                <w:szCs w:val="20"/>
              </w:rPr>
              <w:t xml:space="preserve">Розничный</w:t>
            </w:r>
          </w:p>
        </w:tc>
        <w:tc>
          <w:tcPr>
            <w:tcW w:type="dxa" w:w="2891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</w:rPr>
              <w:t xml:space="preserve">Домашние накопители 10 кВт·ч</w:t>
            </w:r>
          </w:p>
        </w:tc>
        <w:tc>
          <w:tcPr>
            <w:tcW w:type="dxa" w:w="1253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</w:rPr>
              <w:t xml:space="preserve">298</w:t>
            </w:r>
          </w:p>
        </w:tc>
        <w:tc>
          <w:tcPr>
            <w:tcW w:type="dxa" w:w="1253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</w:rPr>
              <w:t xml:space="preserve">323</w:t>
            </w:r>
          </w:p>
        </w:tc>
        <w:tc>
          <w:tcPr>
            <w:tcW w:type="dxa" w:w="1253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color w:val="4A6FA5"/>
              </w:rPr>
              <w:t xml:space="preserve">+8,4</w:t>
            </w:r>
          </w:p>
        </w:tc>
        <w:tc>
          <w:tcPr>
            <w:tcW w:type="dxa" w:w="1253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</w:rPr>
              <w:t xml:space="preserve">C</w:t>
            </w:r>
          </w:p>
        </w:tc>
      </w:tr>
      <w:tr>
        <w:tc>
          <w:tcPr>
            <w:tcW w:type="dxa" w:w="1735"/>
            <w:gridSpan w:val="2"/>
            <w:shd w:fill="4A6FA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253"/>
            <w:shd w:fill="4A6FA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4 558</w:t>
            </w:r>
          </w:p>
        </w:tc>
        <w:tc>
          <w:tcPr>
            <w:tcW w:type="dxa" w:w="1253"/>
            <w:shd w:fill="4A6FA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5 310</w:t>
            </w:r>
          </w:p>
        </w:tc>
        <w:tc>
          <w:tcPr>
            <w:tcW w:type="dxa" w:w="1253"/>
            <w:shd w:fill="4A6FA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+16,5</w:t>
            </w:r>
          </w:p>
        </w:tc>
        <w:tc>
          <w:tcPr>
            <w:tcW w:type="dxa" w:w="1253"/>
            <w:shd w:fill="4A6FA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—</w:t>
            </w:r>
          </w:p>
        </w:tc>
      </w:tr>
    </w:tbl>
    <w:p>
      <w:pPr>
        <w:pStyle w:val="Caption"/>
        <w:spacing w:after="240" w:before="80"/>
      </w:pPr>
      <w:r>
        <w:rPr>
          <w:rFonts w:ascii="Inter" w:cs="Inter" w:eastAsia="Inter" w:hAnsi="Inter"/>
          <w:i/>
          <w:iCs/>
          <w:color w:val="667085"/>
          <w:sz w:val="17"/>
          <w:szCs w:val="17"/>
        </w:rPr>
        <w:t xml:space="preserve">Таблица 1. Выручка по направлениям, млн ₽. Класс отражает приоритет инвестирования (A — высший).</w:t>
      </w:r>
    </w:p>
    <w:p>
      <w:pPr>
        <w:pStyle w:val="Heading2"/>
      </w:pPr>
      <w:r>
        <w:t xml:space="preserve">Динамика EBITDA</w:t>
      </w:r>
    </w:p>
    <w:p>
      <w:pPr>
        <w:spacing w:after="140" w:line="300"/>
        <w:jc w:val="both"/>
      </w:pPr>
      <w:r>
        <w:rPr>
          <w:rFonts w:ascii="PT Serif" w:cs="PT Serif" w:eastAsia="PT Serif" w:hAnsi="PT Serif"/>
          <w:color w:val="1F2933"/>
          <w:sz w:val="22"/>
          <w:szCs w:val="22"/>
        </w:rPr>
        <w:t xml:space="preserve">Мостик показывает, за счёт каких факторов формируется прирост операционной прибыли. Эффект цены почти полностью компенсирует рост себестоимости, а основной вклад даёт объём.</w:t>
      </w:r>
    </w:p>
    <w:p>
      <w:pPr>
        <w:spacing w:after="40" w:before="160"/>
        <w:jc w:val="center"/>
      </w:pPr>
      <w:r>
        <w:drawing>
          <wp:inline distT="0" distB="0" distL="0" distR="0">
            <wp:extent cx="4381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40" w:before="80"/>
      </w:pPr>
      <w:r>
        <w:rPr>
          <w:rFonts w:ascii="Inter" w:cs="Inter" w:eastAsia="Inter" w:hAnsi="Inter"/>
          <w:i/>
          <w:iCs/>
          <w:color w:val="667085"/>
          <w:sz w:val="17"/>
          <w:szCs w:val="17"/>
        </w:rPr>
        <w:t xml:space="preserve">Рисунок 2. Мостик EBITDA: факторный разбор изменения за год, млн ₽.</w:t>
      </w:r>
    </w:p>
    <w:p>
      <w:pPr>
        <w:pStyle w:val="Heading1"/>
        <w:pageBreakBefore/>
      </w:pPr>
      <w:r>
        <w:t xml:space="preserve">Методика оценки</w:t>
      </w:r>
    </w:p>
    <w:p>
      <w:pPr>
        <w:spacing w:after="140" w:line="300"/>
        <w:jc w:val="both"/>
      </w:pPr>
      <w:r>
        <w:rPr>
          <w:rFonts w:ascii="PT Serif" w:cs="PT Serif" w:eastAsia="PT Serif" w:hAnsi="PT Serif"/>
          <w:color w:val="1F2933"/>
          <w:sz w:val="22"/>
          <w:szCs w:val="22"/>
        </w:rPr>
        <w:t xml:space="preserve">Оценка выполнена методом дисконтированных денежных потоков. Чистая приведённая стоимость рассчитывается как сумма дисконтированных потоков за вычетом первоначальных вложений</w:t>
      </w:r>
      <w:r>
        <w:rPr>
          <w:rStyle w:val="FootnoteReference"/>
        </w:rPr>
        <w:footnoteReference w:id="3"/>
      </w:r>
      <w:r>
        <w:rPr>
          <w:rFonts w:ascii="PT Serif" w:cs="PT Serif" w:eastAsia="PT Serif" w:hAnsi="PT Serif"/>
          <w:color w:val="1F2933"/>
          <w:sz w:val="22"/>
          <w:szCs w:val="22"/>
        </w:rPr>
        <w:t xml:space="preserve">:</w:t>
      </w:r>
    </w:p>
    <w:p>
      <w:pPr>
        <w:spacing w:after="120" w:before="200"/>
        <w:jc w:val="center"/>
      </w:pPr>
      <m:oMath>
        <m:r>
          <m:t>NPV = </m:t>
        </m:r>
        <m:nary>
          <m:naryPr>
            <m:chr m:val="∑"/>
            <m:limLoc m:val="undOvr"/>
          </m:naryPr>
          <m:sub>
            <m:r>
              <m:t>t = 1</m:t>
            </m:r>
          </m:sub>
          <m:sup>
            <m:r>
              <m:t>n</m:t>
            </m:r>
          </m:sup>
          <m:e>
            <m:f>
              <m:num>
                <m:r>
                  <m:t>CF</m:t>
                </m:r>
                <m:r>
                  <m:t>t</m:t>
                </m:r>
              </m:num>
              <m:den>
                <m:sSup>
                  <m:sSupPr/>
                  <m:e>
                    <m:r>
                      <m:t>(1 + r)</m:t>
                    </m:r>
                  </m:e>
                  <m:sup>
                    <m:r>
                      <m:t>t</m:t>
                    </m:r>
                  </m:sup>
                </m:sSup>
              </m:den>
            </m:f>
          </m:e>
        </m:nary>
        <m:r>
          <m:t> − </m:t>
        </m:r>
        <m:r>
          <m:t>C</m:t>
        </m:r>
        <m:r>
          <m:t>0</m:t>
        </m:r>
      </m:oMath>
    </w:p>
    <w:p>
      <w:pPr>
        <w:pStyle w:val="Caption"/>
        <w:spacing w:after="240" w:before="80"/>
      </w:pPr>
      <w:r>
        <w:rPr>
          <w:rFonts w:ascii="Inter" w:cs="Inter" w:eastAsia="Inter" w:hAnsi="Inter"/>
          <w:i/>
          <w:iCs/>
          <w:color w:val="667085"/>
          <w:sz w:val="17"/>
          <w:szCs w:val="17"/>
        </w:rPr>
        <w:t xml:space="preserve">Формула 1. Чистая приведённая стоимость проекта.</w:t>
      </w:r>
    </w:p>
    <w:p>
      <w:pPr>
        <w:spacing w:after="140" w:line="300"/>
        <w:jc w:val="both"/>
      </w:pPr>
      <w:r>
        <w:rPr>
          <w:rFonts w:ascii="PT Serif" w:cs="PT Serif" w:eastAsia="PT Serif" w:hAnsi="PT Serif"/>
          <w:color w:val="1F2933"/>
          <w:sz w:val="22"/>
          <w:szCs w:val="22"/>
        </w:rPr>
        <w:t xml:space="preserve">Ставка дисконтирования определена как средневзвешенная стоимость капитала с учётом налогового щита по заёмной части:</w:t>
      </w:r>
    </w:p>
    <w:p>
      <w:pPr>
        <w:spacing w:after="120" w:before="120"/>
        <w:jc w:val="center"/>
      </w:pPr>
      <m:oMath>
        <m:r>
          <m:t>WACC = </m:t>
        </m:r>
        <m:f>
          <m:num>
            <m:r>
              <m:t>E</m:t>
            </m:r>
          </m:num>
          <m:den>
            <m:r>
              <m:t>V</m:t>
            </m:r>
          </m:den>
        </m:f>
        <m:r>
          <m:t> · k</m:t>
        </m:r>
        <m:r>
          <m:t>e</m:t>
        </m:r>
        <m:r>
          <m:t> + </m:t>
        </m:r>
        <m:f>
          <m:num>
            <m:r>
              <m:t>D</m:t>
            </m:r>
          </m:num>
          <m:den>
            <m:r>
              <m:t>V</m:t>
            </m:r>
          </m:den>
        </m:f>
        <m:r>
          <m:t> · k</m:t>
        </m:r>
        <m:r>
          <m:t>d</m:t>
        </m:r>
        <m:r>
          <m:t> · (1 − T)</m:t>
        </m:r>
      </m:oMath>
    </w:p>
    <w:p>
      <w:pPr>
        <w:pStyle w:val="Caption"/>
        <w:spacing w:after="240" w:before="80"/>
      </w:pPr>
      <w:r>
        <w:rPr>
          <w:rFonts w:ascii="Inter" w:cs="Inter" w:eastAsia="Inter" w:hAnsi="Inter"/>
          <w:i/>
          <w:iCs/>
          <w:color w:val="667085"/>
          <w:sz w:val="17"/>
          <w:szCs w:val="17"/>
        </w:rPr>
        <w:t xml:space="preserve">Формула 2. Средневзвешенная стоимость капитала.</w:t>
      </w:r>
    </w:p>
    <w:p>
      <w:pPr>
        <w:spacing w:after="140" w:line="300"/>
        <w:jc w:val="both"/>
      </w:pPr>
      <w:r>
        <w:rPr>
          <w:rFonts w:ascii="PT Serif" w:cs="PT Serif" w:eastAsia="PT Serif" w:hAnsi="PT Serif"/>
          <w:color w:val="1F2933"/>
          <w:sz w:val="22"/>
          <w:szCs w:val="22"/>
        </w:rPr>
        <w:t xml:space="preserve">Разброс результатов по методу Монте-Карло характеризуется выборочным стандартным отклонением:</w:t>
      </w:r>
    </w:p>
    <w:p>
      <w:pPr>
        <w:spacing w:after="200" w:before="120"/>
        <w:jc w:val="center"/>
      </w:pPr>
      <m:oMath>
        <m:r>
          <m:t>σ = </m:t>
        </m:r>
        <m:rad>
          <m:radPr>
            <m:degHide m:val="1"/>
          </m:radPr>
          <m:deg/>
          <m:e>
            <m:f>
              <m:num>
                <m:r>
                  <m:t>1</m:t>
                </m:r>
              </m:num>
              <m:den>
                <m:r>
                  <m:t>n − 1</m:t>
                </m:r>
              </m:den>
            </m:f>
            <m:nary>
              <m:naryPr>
                <m:chr m:val="∑"/>
                <m:limLoc m:val="undOvr"/>
              </m:naryPr>
              <m:sub>
                <m:r>
                  <m:t>i = 1</m:t>
                </m:r>
              </m:sub>
              <m:sup>
                <m:r>
                  <m:t>n</m:t>
                </m:r>
              </m:sup>
              <m:e>
                <m:sSup>
                  <m:sSupPr/>
                  <m:e>
                    <m:r>
                      <m:t>(x − μ)</m:t>
                    </m:r>
                  </m:e>
                  <m:sup>
                    <m:r>
                      <m:t>2</m:t>
                    </m:r>
                  </m:sup>
                </m:sSup>
              </m:e>
            </m:nary>
          </m:e>
        </m:rad>
      </m:oMath>
    </w:p>
    <w:p>
      <w:pPr>
        <w:pStyle w:val="Caption"/>
        <w:spacing w:after="240" w:before="80"/>
      </w:pPr>
      <w:r>
        <w:rPr>
          <w:rFonts w:ascii="Inter" w:cs="Inter" w:eastAsia="Inter" w:hAnsi="Inter"/>
          <w:i/>
          <w:iCs/>
          <w:color w:val="667085"/>
          <w:sz w:val="17"/>
          <w:szCs w:val="17"/>
        </w:rPr>
        <w:t xml:space="preserve">Формула 3. Выборочное стандартное отклонение по 10 000 итераций.</w:t>
      </w:r>
    </w:p>
    <w:p>
      <w:pPr>
        <w:pStyle w:val="Heading2"/>
      </w:pPr>
      <w:r>
        <w:t xml:space="preserve">Чувствительность</w:t>
      </w:r>
    </w:p>
    <w:p>
      <w:pPr>
        <w:spacing w:after="140" w:line="300"/>
        <w:jc w:val="both"/>
      </w:pPr>
      <w:r>
        <w:rPr>
          <w:rFonts w:ascii="PT Serif" w:cs="PT Serif" w:eastAsia="PT Serif" w:hAnsi="PT Serif"/>
          <w:color w:val="1F2933"/>
          <w:sz w:val="22"/>
          <w:szCs w:val="22"/>
        </w:rPr>
        <w:t xml:space="preserve">Результат наиболее чувствителен к темпу роста выручки и валовой марже. При тонком базовом NPV отклонение любого из двух первых драйверов на 10 % уводит проект в отрицательную зону, поэтому решение требует контроля именно этих параметров.</w:t>
      </w:r>
    </w:p>
    <w:p>
      <w:pPr>
        <w:spacing w:after="40" w:before="160"/>
        <w:jc w:val="center"/>
      </w:pPr>
      <w:r>
        <w:drawing>
          <wp:inline distT="0" distB="0" distL="0" distR="0">
            <wp:extent cx="428625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40" w:before="80"/>
      </w:pPr>
      <w:r>
        <w:rPr>
          <w:rFonts w:ascii="Inter" w:cs="Inter" w:eastAsia="Inter" w:hAnsi="Inter"/>
          <w:i/>
          <w:iCs/>
          <w:color w:val="667085"/>
          <w:sz w:val="17"/>
          <w:szCs w:val="17"/>
        </w:rPr>
        <w:t xml:space="preserve">Рисунок 3. Торнадо-диаграмма чувствительности NPV.</w:t>
      </w:r>
    </w:p>
    <w:p>
      <w:pPr>
        <w:pStyle w:val="Heading2"/>
      </w:pPr>
      <w:r>
        <w:t xml:space="preserve">Контрольный список готовности</w:t>
      </w:r>
    </w:p>
    <w:p>
      <w:pPr>
        <w:spacing w:after="90"/>
      </w:pPr>
      <w:sdt>
        <w:sdtPr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sym w:char="2612" w:font="MS Gothic"/>
          </w:r>
        </w:sdtContent>
      </w:sdt>
      <w:r>
        <w:rPr>
          <w:rFonts w:ascii="Inter" w:cs="Inter" w:eastAsia="Inter" w:hAnsi="Inter"/>
          <w:color w:val="1F2933"/>
          <w:sz w:val="20"/>
          <w:szCs w:val="20"/>
        </w:rPr>
        <w:t xml:space="preserve">  Финансовая модель прошла независимую проверку</w:t>
      </w:r>
    </w:p>
    <w:p>
      <w:pPr>
        <w:spacing w:after="90"/>
      </w:pPr>
      <w:sdt>
        <w:sdtPr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sym w:char="2612" w:font="MS Gothic"/>
          </w:r>
        </w:sdtContent>
      </w:sdt>
      <w:r>
        <w:rPr>
          <w:rFonts w:ascii="Inter" w:cs="Inter" w:eastAsia="Inter" w:hAnsi="Inter"/>
          <w:color w:val="1F2933"/>
          <w:sz w:val="20"/>
          <w:szCs w:val="20"/>
        </w:rPr>
        <w:t xml:space="preserve">  Технический аудит площадок завершён</w:t>
      </w:r>
    </w:p>
    <w:p>
      <w:pPr>
        <w:spacing w:after="9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Inter" w:cs="Inter" w:eastAsia="Inter" w:hAnsi="Inter"/>
          <w:color w:val="1F2933"/>
          <w:sz w:val="20"/>
          <w:szCs w:val="20"/>
        </w:rPr>
        <w:t xml:space="preserve">  Рамочный договор с поставщиком подписан</w:t>
      </w:r>
    </w:p>
    <w:p>
      <w:pPr>
        <w:spacing w:after="9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Inter" w:cs="Inter" w:eastAsia="Inter" w:hAnsi="Inter"/>
          <w:color w:val="1F2933"/>
          <w:sz w:val="20"/>
          <w:szCs w:val="20"/>
        </w:rPr>
        <w:t xml:space="preserve">  Кредитный комитет банка вынес решение</w:t>
      </w:r>
    </w:p>
    <w:p>
      <w:pPr>
        <w:spacing w:after="140" w:before="240" w:line="300"/>
      </w:pPr>
      <w:r>
        <w:rPr>
          <w:rFonts w:ascii="PT Serif" w:cs="PT Serif" w:eastAsia="PT Serif" w:hAnsi="PT Serif"/>
          <w:color w:val="1F2933"/>
          <w:sz w:val="22"/>
          <w:szCs w:val="22"/>
        </w:rPr>
        <w:t xml:space="preserve">Итоговые рекомендации приведены в разделе </w:t>
      </w:r>
      <w:hyperlink w:history="1" w:anchor="summary">
        <w:r>
          <w:rPr>
            <w:rFonts w:ascii="PT Serif" w:cs="PT Serif" w:eastAsia="PT Serif" w:hAnsi="PT Serif"/>
            <w:color w:val="4A6FA5"/>
            <w:sz w:val="22"/>
            <w:szCs w:val="22"/>
            <w:u w:val="single"/>
          </w:rPr>
          <w:t xml:space="preserve">«Резюме для руководства»</w:t>
        </w:r>
      </w:hyperlink>
      <w:r>
        <w:rPr>
          <w:rFonts w:ascii="PT Serif" w:cs="PT Serif" w:eastAsia="PT Serif" w:hAnsi="PT Serif"/>
          <w:color w:val="1F2933"/>
          <w:sz w:val="22"/>
          <w:szCs w:val="22"/>
        </w:rPr>
        <w:t xml:space="preserve">. Методические требования опубликованы на </w:t>
      </w:r>
      <w:hyperlink w:history="1" r:id="rIdtfvjrnshoqeaouexyd2kb">
        <w:r>
          <w:rPr>
            <w:rFonts w:ascii="PT Serif" w:cs="PT Serif" w:eastAsia="PT Serif" w:hAnsi="PT Serif"/>
            <w:color w:val="4A6FA5"/>
            <w:sz w:val="22"/>
            <w:szCs w:val="22"/>
            <w:u w:val="single"/>
          </w:rPr>
          <w:t xml:space="preserve">портале правовой информации</w:t>
        </w:r>
      </w:hyperlink>
      <w:r>
        <w:rPr>
          <w:rFonts w:ascii="PT Serif" w:cs="PT Serif" w:eastAsia="PT Serif" w:hAnsi="PT Serif"/>
          <w:color w:val="1F2933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type w:val="nextPage"/>
          <w:pgSz w:w="11906" w:h="16838" w:orient="portrait"/>
          <w:pgMar w:top="1400" w:right="1134" w:bottom="1300" w:left="1134" w:header="708" w:footer="708" w:gutter="0"/>
          <w:pgNumType w:start="1" w:fmt="decimal"/>
          <w:docGrid w:linePitch="360"/>
        </w:sectPr>
      </w:pPr>
    </w:p>
    <w:p>
      <w:pPr>
        <w:pStyle w:val="Heading1"/>
      </w:pPr>
      <w:r>
        <w:t xml:space="preserve">Приложение А. Пятилетний прогноз</w:t>
      </w:r>
    </w:p>
    <w:p>
      <w:pPr>
        <w:spacing w:after="140" w:line="300"/>
        <w:jc w:val="both"/>
      </w:pPr>
      <w:r>
        <w:rPr>
          <w:rFonts w:ascii="PT Serif" w:cs="PT Serif" w:eastAsia="PT Serif" w:hAnsi="PT Serif"/>
          <w:color w:val="1F2933"/>
          <w:sz w:val="22"/>
          <w:szCs w:val="22"/>
        </w:rPr>
        <w:t xml:space="preserve">Таблица развёрнута на альбомной странице — единственный корректный способ разместить широкий финансовый прогноз без уменьшения кегля до нечитаемого размера.</w:t>
      </w:r>
    </w:p>
    <w:tbl>
      <w:tblPr>
        <w:tblW w:type="dxa" w:w="14570"/>
        <w:tblBorders>
          <w:top w:val="single" w:color="D5D9E0" w:sz="2"/>
          <w:left w:val="none" w:color="FFFFFF" w:sz="0"/>
          <w:bottom w:val="single" w:color="D5D9E0" w:sz="2"/>
          <w:right w:val="none" w:color="FFFFFF" w:sz="0"/>
          <w:insideH w:val="single" w:color="D5D9E0" w:sz="2"/>
          <w:insideV w:val="none" w:color="FFFFFF" w:sz="0"/>
        </w:tblBorders>
      </w:tblPr>
      <w:tblGrid>
        <w:gridCol w:w="3205"/>
        <w:gridCol w:w="1894"/>
        <w:gridCol w:w="1894"/>
        <w:gridCol w:w="1894"/>
        <w:gridCol w:w="1894"/>
        <w:gridCol w:w="1894"/>
        <w:gridCol w:w="1894"/>
      </w:tblGrid>
      <w:tr>
        <w:trPr>
          <w:tblHeader/>
        </w:trPr>
        <w:tc>
          <w:tcPr>
            <w:tcW w:type="dxa" w:w="3205"/>
            <w:shd w:fill="1E276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Показатель</w:t>
            </w:r>
          </w:p>
        </w:tc>
        <w:tc>
          <w:tcPr>
            <w:tcW w:type="dxa" w:w="1894"/>
            <w:shd w:fill="1E276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2026</w:t>
            </w:r>
          </w:p>
        </w:tc>
        <w:tc>
          <w:tcPr>
            <w:tcW w:type="dxa" w:w="1894"/>
            <w:shd w:fill="1E276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2027</w:t>
            </w:r>
          </w:p>
        </w:tc>
        <w:tc>
          <w:tcPr>
            <w:tcW w:type="dxa" w:w="1894"/>
            <w:shd w:fill="1E276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2028</w:t>
            </w:r>
          </w:p>
        </w:tc>
        <w:tc>
          <w:tcPr>
            <w:tcW w:type="dxa" w:w="1894"/>
            <w:shd w:fill="1E276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2029</w:t>
            </w:r>
          </w:p>
        </w:tc>
        <w:tc>
          <w:tcPr>
            <w:tcW w:type="dxa" w:w="1894"/>
            <w:shd w:fill="1E276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2030</w:t>
            </w:r>
          </w:p>
        </w:tc>
        <w:tc>
          <w:tcPr>
            <w:tcW w:type="dxa" w:w="1894"/>
            <w:shd w:fill="1E276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CAGR</w:t>
            </w:r>
          </w:p>
        </w:tc>
      </w:tr>
      <w:tr>
        <w:trPr>
          <w:tblHeader w:val="false"/>
        </w:trPr>
        <w:tc>
          <w:tcPr>
            <w:tcW w:type="dxa" w:w="320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F2933"/>
              </w:rPr>
              <w:t xml:space="preserve">Выручка, млн ₽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5 310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6 186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7 207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8 396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9 781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6FA5"/>
              </w:rPr>
              <w:t xml:space="preserve">16,5 %</w:t>
            </w:r>
          </w:p>
        </w:tc>
      </w:tr>
      <w:tr>
        <w:trPr>
          <w:tblHeader w:val="false"/>
        </w:trPr>
        <w:tc>
          <w:tcPr>
            <w:tcW w:type="dxa" w:w="3205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F2933"/>
              </w:rPr>
              <w:t xml:space="preserve">EBITDA, млн ₽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1 168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1 398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1 672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1 998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2 387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6FA5"/>
              </w:rPr>
              <w:t xml:space="preserve">19,5 %</w:t>
            </w:r>
          </w:p>
        </w:tc>
      </w:tr>
      <w:tr>
        <w:trPr>
          <w:tblHeader w:val="false"/>
        </w:trPr>
        <w:tc>
          <w:tcPr>
            <w:tcW w:type="dxa" w:w="320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F2933"/>
              </w:rPr>
              <w:t xml:space="preserve">Рентабельность EBITDA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22,0 %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22,6 %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23,2 %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23,8 %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24,4 %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6FA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5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F2933"/>
              </w:rPr>
              <w:t xml:space="preserve">Капитальные затраты, млн ₽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980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1 020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890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760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640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6FA5"/>
              </w:rPr>
              <w:t xml:space="preserve">−10,1 %</w:t>
            </w:r>
          </w:p>
        </w:tc>
      </w:tr>
      <w:tr>
        <w:trPr>
          <w:tblHeader w:val="false"/>
        </w:trPr>
        <w:tc>
          <w:tcPr>
            <w:tcW w:type="dxa" w:w="320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F2933"/>
              </w:rPr>
              <w:t xml:space="preserve">Свободный денежный поток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−104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218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641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1 084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1 542</w:t>
            </w:r>
          </w:p>
        </w:tc>
        <w:tc>
          <w:tcPr>
            <w:tcW w:type="dxa" w:w="189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6FA5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205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Inter" w:cs="Inter" w:eastAsia="Inter" w:hAnsi="Inter"/>
                <w:b/>
                <w:bCs/>
                <w:color w:val="1F2933"/>
              </w:rPr>
              <w:t xml:space="preserve">Чистый долг / EBITDA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2,4×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2,0×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1,5×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1,0×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F2933"/>
              </w:rPr>
              <w:t xml:space="preserve">0,6×</w:t>
            </w:r>
          </w:p>
        </w:tc>
        <w:tc>
          <w:tcPr>
            <w:tcW w:type="dxa" w:w="1894"/>
            <w:shd w:fill="F4F6FA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4A6FA5"/>
              </w:rPr>
              <w:t xml:space="preserve">—</w:t>
            </w:r>
          </w:p>
        </w:tc>
      </w:tr>
    </w:tbl>
    <w:p>
      <w:pPr>
        <w:pStyle w:val="Caption"/>
        <w:spacing w:after="240" w:before="80"/>
      </w:pPr>
      <w:r>
        <w:rPr>
          <w:rFonts w:ascii="Inter" w:cs="Inter" w:eastAsia="Inter" w:hAnsi="Inter"/>
          <w:i/>
          <w:iCs/>
          <w:color w:val="667085"/>
          <w:sz w:val="17"/>
          <w:szCs w:val="17"/>
        </w:rPr>
        <w:t xml:space="preserve">Таблица 2. Консолидированный прогноз, базовый сценарий.</w:t>
      </w:r>
    </w:p>
    <w:p>
      <w:pPr>
        <w:pBdr>
          <w:bottom w:val="single" w:color="D5D9E0" w:sz="6"/>
        </w:pBdr>
        <w:spacing w:after="200" w:before="60"/>
      </w:pPr>
    </w:p>
    <w:p>
      <w:r>
        <w:rPr>
          <w:rFonts w:ascii="Inter" w:cs="Inter" w:eastAsia="Inter" w:hAnsi="Inter"/>
          <w:i/>
          <w:iCs/>
          <w:color w:val="667085"/>
          <w:sz w:val="17"/>
          <w:szCs w:val="17"/>
        </w:rPr>
        <w:t xml:space="preserve">Подготовлено на основе управленческой отчётности за период, закрытый 30 июня 2026 года. Прогнозные значения не являются публичной офертой.</w:t>
      </w:r>
    </w:p>
    <w:sectPr>
      <w:headerReference w:type="default" r:id="rId10"/>
      <w:footerReference w:type="default" r:id="rId11"/>
      <w:type w:val="nextPage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comment w:id="1" w:initials="ФК" w:author="Финансовый контроль" w:date="2026-08-12T10:15:00.000Z">
    <w:p>
      <w:r>
        <w:rPr>
          <w:rFonts w:ascii="Inter" w:cs="Inter" w:eastAsia="Inter" w:hAnsi="Inter"/>
          <w:color w:val="1F2933"/>
          <w:sz w:val="18"/>
          <w:szCs w:val="18"/>
        </w:rPr>
        <w:t xml:space="preserve">Проверить с казначейством: ставка привлечения могла измениться после июльского пересмотра.</w:t>
      </w:r>
    </w:p>
  </w:comment>
  <w:comment w:id="2" w:initials="ТД" w:author="Технический директор" w:date="2026-08-13T08:40:00.000Z">
    <w:p>
      <w:r>
        <w:rPr>
          <w:rFonts w:ascii="Inter" w:cs="Inter" w:eastAsia="Inter" w:hAnsi="Inter"/>
          <w:color w:val="1F2933"/>
          <w:sz w:val="18"/>
          <w:szCs w:val="18"/>
        </w:rPr>
        <w:t xml:space="preserve">Сроки поставки контейнеров реалистичны только при заключении рамочного договора до конца октября.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667085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Inter" w:cs="Inter" w:eastAsia="Inter" w:hAnsi="Inter"/>
        <w:color w:val="667085"/>
        <w:sz w:val="17"/>
        <w:szCs w:val="17"/>
      </w:rPr>
      <w:t xml:space="preserve">Департамент стратегического развития</w:t>
    </w:r>
    <w:r>
      <w:rPr>
        <w:rFonts w:ascii="Inter" w:cs="Inter" w:eastAsia="Inter" w:hAnsi="Inter"/>
        <w:color w:val="667085"/>
        <w:sz w:val="17"/>
        <w:szCs w:val="17"/>
      </w:rPr>
      <w:t xml:space="preserve">	с. </w:t>
    </w:r>
    <w:r>
      <w:rPr>
        <w:rFonts w:ascii="Inter" w:cs="Inter" w:eastAsia="Inter" w:hAnsi="Inter"/>
        <w:b/>
        <w:bCs/>
        <w:color w:val="667085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667085"/>
        <w:sz w:val="17"/>
        <w:szCs w:val="17"/>
      </w:rPr>
      <w:t xml:space="preserve"> из </w:t>
    </w:r>
    <w:r>
      <w:rPr>
        <w:rFonts w:ascii="Inter" w:cs="Inter" w:eastAsia="Inter" w:hAnsi="Inter"/>
        <w:color w:val="667085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Inter" w:cs="Inter" w:eastAsia="Inter" w:hAnsi="Inter"/>
        <w:color w:val="667085"/>
        <w:sz w:val="17"/>
        <w:szCs w:val="17"/>
      </w:rPr>
      <w:t xml:space="preserve">с. </w:t>
    </w:r>
    <w:r>
      <w:rPr>
        <w:rFonts w:ascii="Inter" w:cs="Inter" w:eastAsia="Inter" w:hAnsi="Inter"/>
        <w:b/>
        <w:bCs/>
        <w:color w:val="667085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rPr>
          <w:rFonts w:ascii="PT Serif" w:cs="PT Serif" w:eastAsia="PT Serif" w:hAnsi="PT Serif"/>
          <w:color w:val="1F2933"/>
          <w:sz w:val="18"/>
          <w:szCs w:val="18"/>
        </w:rPr>
        <w:t xml:space="preserve">Прогноз построен на консенсусе трёх независимых отраслевых обзоров за II квартал 2026 года.</w:t>
      </w:r>
    </w:p>
  </w:footnote>
  <w:footnote w:id="2">
    <w:p>
      <w:r>
        <w:rPr>
          <w:rStyle w:val="FootnoteReference"/>
        </w:rPr>
        <w:footnoteRef/>
      </w:r>
      <w:r>
        <w:rPr>
          <w:rFonts w:ascii="PT Serif" w:cs="PT Serif" w:eastAsia="PT Serif" w:hAnsi="PT Serif"/>
          <w:color w:val="1F2933"/>
          <w:sz w:val="18"/>
          <w:szCs w:val="18"/>
        </w:rPr>
        <w:t xml:space="preserve">Здесь и далее — среднегодовой темп роста (CAGR) рассчитан по формуле сложного процента.</w:t>
      </w:r>
    </w:p>
  </w:footnote>
  <w:footnote w:id="3">
    <w:p>
      <w:r>
        <w:rPr>
          <w:rStyle w:val="FootnoteReference"/>
        </w:rPr>
        <w:footnoteRef/>
      </w:r>
      <w:r>
        <w:rPr>
          <w:rFonts w:ascii="PT Serif" w:cs="PT Serif" w:eastAsia="PT Serif" w:hAnsi="PT Serif"/>
          <w:color w:val="1F2933"/>
          <w:sz w:val="18"/>
          <w:szCs w:val="18"/>
        </w:rPr>
        <w:t xml:space="preserve">Ставка дисконтирования принята равной средневзвешенной стоимости капитала на дату оценки.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6"/>
      </w:pBdr>
      <w:tabs>
        <w:tab w:val="right" w:pos="9638"/>
      </w:tabs>
    </w:pPr>
    <w:r>
      <w:rPr>
        <w:rFonts w:ascii="Inter" w:cs="Inter" w:eastAsia="Inter" w:hAnsi="Inter"/>
        <w:color w:val="667085"/>
        <w:sz w:val="17"/>
        <w:szCs w:val="17"/>
      </w:rPr>
      <w:t xml:space="preserve">Модернизация сети накопителей энергии</w:t>
    </w:r>
    <w:r>
      <w:rPr>
        <w:rFonts w:ascii="Inter" w:cs="Inter" w:eastAsia="Inter" w:hAnsi="Inter"/>
        <w:color w:val="667085"/>
        <w:sz w:val="17"/>
        <w:szCs w:val="17"/>
      </w:rPr>
      <w:t xml:space="preserve">	Конфиденциально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6"/>
      </w:pBdr>
    </w:pPr>
    <w:r>
      <w:rPr>
        <w:rFonts w:ascii="Inter" w:cs="Inter" w:eastAsia="Inter" w:hAnsi="Inter"/>
        <w:color w:val="667085"/>
        <w:sz w:val="17"/>
        <w:szCs w:val="17"/>
      </w:rPr>
      <w:t xml:space="preserve">Приложение А · Пятилетний прогноз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420"/>
      </w:pPr>
      <w:rPr>
        <w:b/>
        <w:bCs/>
        <w:color w:val="1E2761"/>
      </w:rPr>
    </w:lvl>
    <w:lvl w:ilvl="1" w15:tentative="1">
      <w:start w:val="1"/>
      <w:numFmt w:val="decimal"/>
      <w:lvlText w:val="%1.%2."/>
      <w:lvlJc w:val="left"/>
      <w:pPr>
        <w:ind w:left="900" w:hanging="540"/>
      </w:pPr>
    </w:lvl>
    <w:lvl w:ilvl="2" w15:tentative="1">
      <w:start w:val="1"/>
      <w:numFmt w:val="lowerLetter"/>
      <w:lvlText w:val="%3)"/>
      <w:lvlJc w:val="left"/>
      <w:pPr>
        <w:ind w:left="1360" w:hanging="4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erif" w:cs="PT Serif" w:eastAsia="PT Serif" w:hAnsi="PT Serif"/>
        <w:color w:val="1F2933"/>
        <w:sz w:val="22"/>
        <w:szCs w:val="22"/>
      </w:rPr>
    </w:rPrDefault>
    <w:pPrDefault/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rFonts w:ascii="Inter" w:cs="Inter" w:eastAsia="Inter" w:hAnsi="Inter"/>
      <w:b/>
      <w:bCs/>
      <w:color w:val="FFFFFF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Inter" w:cs="Inter" w:eastAsia="Inter" w:hAnsi="Inter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Inter" w:cs="Inter" w:eastAsia="Inter" w:hAnsi="Inter"/>
      <w:b/>
      <w:bCs/>
      <w:color w:val="4A6FA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Inter" w:cs="Inter" w:eastAsia="Inter" w:hAnsi="Inter"/>
      <w:b/>
      <w:bCs/>
      <w:color w:val="1F2933"/>
      <w:sz w:val="21"/>
      <w:szCs w:val="21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ption">
    <w:name w:val="Caption"/>
    <w:basedOn w:val="Normal"/>
    <w:next w:val="Normal"/>
    <w:pPr>
      <w:spacing w:after="240"/>
      <w:jc w:val="center"/>
    </w:pPr>
    <w:rPr>
      <w:rFonts w:ascii="Inter" w:cs="Inter" w:eastAsia="Inter" w:hAnsi="Inter"/>
      <w:i/>
      <w:iCs/>
      <w:color w:val="667085"/>
      <w:sz w:val="17"/>
      <w:szCs w:val="17"/>
    </w:rPr>
  </w:style>
  <w:style w:type="paragraph" w:styleId="Callout">
    <w:name w:val="Callout"/>
    <w:basedOn w:val="Normal"/>
    <w:next w:val="Normal"/>
    <w:pPr>
      <w:pBdr>
        <w:left w:val="single" w:color="4A6FA5" w:sz="18" w:space="18"/>
      </w:pBdr>
      <w:spacing w:after="200" w:before="200" w:line="300"/>
      <w:ind w:left="340" w:right="340"/>
    </w:pPr>
    <w:rPr>
      <w:rFonts w:ascii="Inter" w:cs="Inter" w:eastAsia="Inter" w:hAnsi="Inter"/>
      <w:color w:val="1E2761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tfvjrnshoqeaouexyd2kb" Type="http://schemas.openxmlformats.org/officeDocument/2006/relationships/hyperlink" Target="https://www.consultant.ru/" TargetMode="External"/><Relationship Id="rId12" Type="http://schemas.openxmlformats.org/officeDocument/2006/relationships/image" Target="media/471401e64d75bddd8d1be099a484c4792d9f55ea.png"/><Relationship Id="rId13" Type="http://schemas.openxmlformats.org/officeDocument/2006/relationships/image" Target="media/77b86ebe24f91c45651809ee6587f13ef37e35cd.png"/><Relationship Id="rId14" Type="http://schemas.openxmlformats.org/officeDocument/2006/relationships/image" Target="media/d0dc986fea64c672de7c1df99a098aa8274bf19e.png"/><Relationship Id="rId15" Type="http://schemas.openxmlformats.org/officeDocument/2006/relationships/image" Target="media/fc50805a1d3e23b3fe2efce012f149026a5445fd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Модернизация сети накопителей энергии</dc:title>
  <dc:creator>Департамент стратегического развития</dc:creator>
  <dc:description>Оценка инвестиционной программы на 2026–2030 годы</dc:description>
  <cp:lastModifiedBy>Un-named</cp:lastModifiedBy>
  <cp:revision>1</cp:revision>
  <dcterms:created xsi:type="dcterms:W3CDTF">2026-08-16T00:52:24.318Z</dcterms:created>
  <dcterms:modified xsi:type="dcterms:W3CDTF">2026-08-16T00:52:24.319Z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