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Standalone Bastion Reporting Server Architecture</w:t>
      </w:r>
    </w:p>
    <w:p>
      <w:pPr>
        <w:pStyle w:val="Subtitle"/>
      </w:pPr>
      <w:r>
        <w:t xml:space="preserve">Enterprise Automated Reporting Solution with Secure Access</w:t>
      </w:r>
    </w:p>
    <w:p/>
    <w:p/>
    <w:p>
      <w:pPr>
        <w:pStyle w:val="Heading1"/>
      </w:pPr>
      <w:r>
        <w:t xml:space="preserve">Architecture Overview</w:t>
      </w:r>
    </w:p>
    <w:p>
      <w:r>
        <w:t xml:space="preserve">This solution provides a dedicated Windows Server 2022 for automated report generation and task scheduling, accessible exclusively through Azure Bastion. The architecture eliminates public IP exposure while enabling scheduled reporting workflows, email distribution, and secure remote administration.</w:t>
      </w:r>
    </w:p>
    <w:p/>
    <w:p>
      <w:pPr>
        <w:pStyle w:val="Heading1"/>
      </w:pPr>
      <w:r>
        <w:t xml:space="preserve">Key Components</w:t>
      </w:r>
    </w:p>
    <w:p/>
    <w:p>
      <w:pPr>
        <w:pStyle w:val="Heading2"/>
      </w:pPr>
      <w:r>
        <w:t xml:space="preserve">1. Azure Bastion Service (Standard SKU)</w:t>
      </w:r>
    </w:p>
    <w:p>
      <w:pPr>
        <w:pStyle w:val="ListParagraph"/>
        <w:numPr>
          <w:ilvl w:val="0"/>
          <w:numId w:val="2"/>
        </w:numPr>
      </w:pPr>
      <w:r>
        <w:t xml:space="preserve">Managed PaaS service with automatic updates and patching</w:t>
      </w:r>
    </w:p>
    <w:p>
      <w:pPr>
        <w:pStyle w:val="ListParagraph"/>
        <w:numPr>
          <w:ilvl w:val="0"/>
          <w:numId w:val="2"/>
        </w:numPr>
      </w:pPr>
      <w:r>
        <w:t xml:space="preserve">99.95% SLA for production workloads</w:t>
      </w:r>
    </w:p>
    <w:p>
      <w:pPr>
        <w:pStyle w:val="ListParagraph"/>
        <w:numPr>
          <w:ilvl w:val="0"/>
          <w:numId w:val="2"/>
        </w:numPr>
      </w:pPr>
      <w:r>
        <w:t xml:space="preserve">Standard SKU enables advanced features</w:t>
      </w:r>
    </w:p>
    <w:p/>
    <w:p>
      <w:pPr>
        <w:pStyle w:val="Heading2"/>
      </w:pPr>
      <w:r>
        <w:t xml:space="preserve">2. AzureBastionSubnet (Dedicated Subnet)</w:t>
      </w:r>
    </w:p>
    <w:p>
      <w:pPr>
        <w:pStyle w:val="ListParagraph"/>
        <w:numPr>
          <w:ilvl w:val="0"/>
          <w:numId w:val="2"/>
        </w:numPr>
      </w:pPr>
      <w:r>
        <w:t xml:space="preserve">Minimum /26 address space (64 IPs)</w:t>
      </w:r>
    </w:p>
    <w:p>
      <w:pPr>
        <w:pStyle w:val="ListParagraph"/>
        <w:numPr>
          <w:ilvl w:val="0"/>
          <w:numId w:val="2"/>
        </w:numPr>
      </w:pPr>
      <w:r>
        <w:t xml:space="preserve">Reserved exclusively for Bastion service</w:t>
      </w:r>
    </w:p>
    <w:p>
      <w:pPr>
        <w:pStyle w:val="ListParagraph"/>
        <w:numPr>
          <w:ilvl w:val="0"/>
          <w:numId w:val="2"/>
        </w:numPr>
      </w:pPr>
      <w:r>
        <w:t xml:space="preserve">Must be named 'AzureBastionSubnet' exactly</w:t>
      </w:r>
    </w:p>
    <w:p/>
    <w:p>
      <w:pPr>
        <w:pStyle w:val="Heading2"/>
      </w:pPr>
      <w:r>
        <w:t xml:space="preserve">3. Windows Server 2022 VM (Reporting Server)</w:t>
      </w:r>
    </w:p>
    <w:p>
      <w:pPr>
        <w:pStyle w:val="ListParagraph"/>
        <w:numPr>
          <w:ilvl w:val="0"/>
          <w:numId w:val="2"/>
        </w:numPr>
      </w:pPr>
      <w:r>
        <w:t xml:space="preserve">Dedicated server for report generation</w:t>
      </w:r>
    </w:p>
    <w:p>
      <w:pPr>
        <w:pStyle w:val="ListParagraph"/>
        <w:numPr>
          <w:ilvl w:val="0"/>
          <w:numId w:val="2"/>
        </w:numPr>
      </w:pPr>
      <w:r>
        <w:t xml:space="preserve">Private IP address only (no public IP)</w:t>
      </w:r>
    </w:p>
    <w:p>
      <w:pPr>
        <w:pStyle w:val="ListParagraph"/>
        <w:numPr>
          <w:ilvl w:val="0"/>
          <w:numId w:val="2"/>
        </w:numPr>
      </w:pPr>
      <w:r>
        <w:t xml:space="preserve">Windows Task Scheduler for automation</w:t>
      </w:r>
    </w:p>
    <w:p>
      <w:pPr>
        <w:pStyle w:val="ListParagraph"/>
        <w:numPr>
          <w:ilvl w:val="0"/>
          <w:numId w:val="2"/>
        </w:numPr>
      </w:pPr>
      <w:r>
        <w:t xml:space="preserve">Support for multiple reporting tools</w:t>
      </w:r>
    </w:p>
    <w:p/>
    <w:p>
      <w:pPr>
        <w:pStyle w:val="Heading2"/>
      </w:pPr>
      <w:r>
        <w:t xml:space="preserve">4. Virtual Network (VNet)</w:t>
      </w:r>
    </w:p>
    <w:p>
      <w:pPr>
        <w:pStyle w:val="ListParagraph"/>
        <w:numPr>
          <w:ilvl w:val="0"/>
          <w:numId w:val="2"/>
        </w:numPr>
      </w:pPr>
      <w:r>
        <w:t xml:space="preserve">Contains both Bastion subnet and VM subnets</w:t>
      </w:r>
    </w:p>
    <w:p>
      <w:pPr>
        <w:pStyle w:val="ListParagraph"/>
        <w:numPr>
          <w:ilvl w:val="0"/>
          <w:numId w:val="2"/>
        </w:numPr>
      </w:pPr>
      <w:r>
        <w:t xml:space="preserve">Network Security Groups (NSGs) enforced</w:t>
      </w:r>
    </w:p>
    <w:p>
      <w:pPr>
        <w:pStyle w:val="ListParagraph"/>
        <w:numPr>
          <w:ilvl w:val="0"/>
          <w:numId w:val="2"/>
        </w:numPr>
      </w:pPr>
      <w:r>
        <w:t xml:space="preserve">Private connectivity between Bastion and VMs</w:t>
      </w:r>
    </w:p>
    <w:p/>
    <w:p>
      <w:pPr>
        <w:pStyle w:val="Heading2"/>
      </w:pPr>
      <w:r>
        <w:t xml:space="preserve">5. Reporting Tools</w:t>
      </w:r>
    </w:p>
    <w:p>
      <w:pPr>
        <w:pStyle w:val="ListParagraph"/>
        <w:numPr>
          <w:ilvl w:val="0"/>
          <w:numId w:val="2"/>
        </w:numPr>
      </w:pPr>
      <w:r>
        <w:t xml:space="preserve">Power BI Report Server (modern dashboards)</w:t>
      </w:r>
    </w:p>
    <w:p>
      <w:pPr>
        <w:pStyle w:val="ListParagraph"/>
        <w:numPr>
          <w:ilvl w:val="0"/>
          <w:numId w:val="2"/>
        </w:numPr>
      </w:pPr>
      <w:r>
        <w:t xml:space="preserve">SQL Server Reporting Services (classic reports)</w:t>
      </w:r>
    </w:p>
    <w:p>
      <w:pPr>
        <w:pStyle w:val="ListParagraph"/>
        <w:numPr>
          <w:ilvl w:val="0"/>
          <w:numId w:val="2"/>
        </w:numPr>
      </w:pPr>
      <w:r>
        <w:t xml:space="preserve">PowerShell scripts (custom automation)</w:t>
      </w:r>
    </w:p>
    <w:p>
      <w:pPr>
        <w:pStyle w:val="ListParagraph"/>
        <w:numPr>
          <w:ilvl w:val="0"/>
          <w:numId w:val="2"/>
        </w:numPr>
      </w:pPr>
      <w:r>
        <w:t xml:space="preserve">Python environment (data science)</w:t>
      </w:r>
    </w:p>
    <w:p>
      <w:pPr>
        <w:pStyle w:val="ListParagraph"/>
        <w:numPr>
          <w:ilvl w:val="0"/>
          <w:numId w:val="2"/>
        </w:numPr>
      </w:pPr>
      <w:r>
        <w:t xml:space="preserve">Email distribution via SMTP</w:t>
      </w:r>
    </w:p>
    <w:p/>
    <w:p>
      <w:pPr>
        <w:pStyle w:val="Heading1"/>
      </w:pPr>
      <w:r>
        <w:t xml:space="preserve">Standard SKU Features</w:t>
      </w:r>
    </w:p>
    <w:p/>
    <w:p>
      <w:pPr>
        <w:pStyle w:val="Heading2"/>
      </w:pPr>
      <w:r>
        <w:t xml:space="preserve">1. Entra ID (Azure AD) Authentication</w:t>
      </w:r>
    </w:p>
    <w:p>
      <w:pPr>
        <w:pStyle w:val="ListParagraph"/>
        <w:numPr>
          <w:ilvl w:val="0"/>
          <w:numId w:val="2"/>
        </w:numPr>
      </w:pPr>
      <w:r>
        <w:t xml:space="preserve">Single sign-on with corporate credentials</w:t>
      </w:r>
    </w:p>
    <w:p>
      <w:pPr>
        <w:pStyle w:val="ListParagraph"/>
        <w:numPr>
          <w:ilvl w:val="0"/>
          <w:numId w:val="2"/>
        </w:numPr>
      </w:pPr>
      <w:r>
        <w:t xml:space="preserve">Multi-factor authentication (MFA) enforcement</w:t>
      </w:r>
    </w:p>
    <w:p>
      <w:pPr>
        <w:pStyle w:val="ListParagraph"/>
        <w:numPr>
          <w:ilvl w:val="0"/>
          <w:numId w:val="2"/>
        </w:numPr>
      </w:pPr>
      <w:r>
        <w:t xml:space="preserve">Conditional access policies apply</w:t>
      </w:r>
    </w:p>
    <w:p>
      <w:pPr>
        <w:pStyle w:val="ListParagraph"/>
        <w:numPr>
          <w:ilvl w:val="0"/>
          <w:numId w:val="2"/>
        </w:numPr>
      </w:pPr>
      <w:r>
        <w:t xml:space="preserve">Eliminates shared passwords and SSH keys</w:t>
      </w:r>
    </w:p>
    <w:p/>
    <w:p>
      <w:pPr>
        <w:pStyle w:val="Heading2"/>
      </w:pPr>
      <w:r>
        <w:t xml:space="preserve">2. Native Client Tunneling</w:t>
      </w:r>
    </w:p>
    <w:p>
      <w:pPr>
        <w:pStyle w:val="ListParagraph"/>
        <w:numPr>
          <w:ilvl w:val="0"/>
          <w:numId w:val="2"/>
        </w:numPr>
      </w:pPr>
      <w:r>
        <w:t xml:space="preserve">Direct RDP from Windows Remote Desktop</w:t>
      </w:r>
    </w:p>
    <w:p>
      <w:pPr>
        <w:pStyle w:val="ListParagraph"/>
        <w:numPr>
          <w:ilvl w:val="0"/>
          <w:numId w:val="2"/>
        </w:numPr>
      </w:pPr>
      <w:r>
        <w:t xml:space="preserve">Better performance than browser-based access</w:t>
      </w:r>
    </w:p>
    <w:p>
      <w:pPr>
        <w:pStyle w:val="ListParagraph"/>
        <w:numPr>
          <w:ilvl w:val="0"/>
          <w:numId w:val="2"/>
        </w:numPr>
      </w:pPr>
      <w:r>
        <w:t xml:space="preserve">Full client feature support</w:t>
      </w:r>
    </w:p>
    <w:p/>
    <w:p>
      <w:pPr>
        <w:pStyle w:val="Heading2"/>
      </w:pPr>
      <w:r>
        <w:t xml:space="preserve">3. Automated Task Scheduling</w:t>
      </w:r>
    </w:p>
    <w:p>
      <w:pPr>
        <w:pStyle w:val="ListParagraph"/>
        <w:numPr>
          <w:ilvl w:val="0"/>
          <w:numId w:val="2"/>
        </w:numPr>
      </w:pPr>
      <w:r>
        <w:t xml:space="preserve">Windows Task Scheduler for 24/7 automation</w:t>
      </w:r>
    </w:p>
    <w:p>
      <w:pPr>
        <w:pStyle w:val="ListParagraph"/>
        <w:numPr>
          <w:ilvl w:val="0"/>
          <w:numId w:val="2"/>
        </w:numPr>
      </w:pPr>
      <w:r>
        <w:t xml:space="preserve">Email notifications on success/failure</w:t>
      </w:r>
    </w:p>
    <w:p>
      <w:pPr>
        <w:pStyle w:val="ListParagraph"/>
        <w:numPr>
          <w:ilvl w:val="0"/>
          <w:numId w:val="2"/>
        </w:numPr>
      </w:pPr>
      <w:r>
        <w:t xml:space="preserve">Support for complex scheduling scenarios</w:t>
      </w:r>
    </w:p>
    <w:p/>
    <w:p>
      <w:pPr>
        <w:pStyle w:val="Heading1"/>
      </w:pPr>
      <w:r>
        <w:t xml:space="preserve">Why This Architecture Is Excellent</w:t>
      </w:r>
    </w:p>
    <w:p/>
    <w:p>
      <w:pPr>
        <w:pStyle w:val="Heading2"/>
      </w:pPr>
      <w:r>
        <w:t xml:space="preserve">Security Benefits</w:t>
      </w:r>
    </w:p>
    <w:p>
      <w:pPr>
        <w:pStyle w:val="ListParagraph"/>
        <w:numPr>
          <w:ilvl w:val="0"/>
          <w:numId w:val="2"/>
        </w:numPr>
      </w:pPr>
      <w:r>
        <w:t xml:space="preserve">No public IPs on VMs - Eliminates direct internet exposure and reduces attack surface by 90%</w:t>
      </w:r>
    </w:p>
    <w:p>
      <w:pPr>
        <w:pStyle w:val="ListParagraph"/>
        <w:numPr>
          <w:ilvl w:val="0"/>
          <w:numId w:val="2"/>
        </w:numPr>
      </w:pPr>
      <w:r>
        <w:t xml:space="preserve">TLS encryption - All connections encrypted at protocol level with TLS 1.2+</w:t>
      </w:r>
    </w:p>
    <w:p>
      <w:pPr>
        <w:pStyle w:val="ListParagraph"/>
        <w:numPr>
          <w:ilvl w:val="0"/>
          <w:numId w:val="2"/>
        </w:numPr>
      </w:pPr>
      <w:r>
        <w:t xml:space="preserve">Entra ID integration - Centralized identity management with MFA and conditional access</w:t>
      </w:r>
    </w:p>
    <w:p>
      <w:pPr>
        <w:pStyle w:val="ListParagraph"/>
        <w:numPr>
          <w:ilvl w:val="0"/>
          <w:numId w:val="2"/>
        </w:numPr>
      </w:pPr>
      <w:r>
        <w:t xml:space="preserve">NSG enforcement - Network-level access control at multiple layers</w:t>
      </w:r>
    </w:p>
    <w:p>
      <w:pPr>
        <w:pStyle w:val="ListParagraph"/>
        <w:numPr>
          <w:ilvl w:val="0"/>
          <w:numId w:val="2"/>
        </w:numPr>
      </w:pPr>
      <w:r>
        <w:t xml:space="preserve">Audit logging - Complete session logging for compliance and forensics</w:t>
      </w:r>
    </w:p>
    <w:p>
      <w:pPr>
        <w:pStyle w:val="ListParagraph"/>
        <w:numPr>
          <w:ilvl w:val="0"/>
          <w:numId w:val="2"/>
        </w:numPr>
      </w:pPr>
      <w:r>
        <w:t xml:space="preserve">Compliance ready - Meets SOC 2, ISO 27001, HIPAA, PCI DSS requirements</w:t>
      </w:r>
    </w:p>
    <w:p/>
    <w:p>
      <w:pPr>
        <w:pStyle w:val="Heading2"/>
      </w:pPr>
      <w:r>
        <w:t xml:space="preserve">Cost Optimization</w:t>
      </w:r>
    </w:p>
    <w:p>
      <w:pPr>
        <w:pStyle w:val="ListParagraph"/>
        <w:numPr>
          <w:ilvl w:val="0"/>
          <w:numId w:val="2"/>
        </w:numPr>
      </w:pPr>
      <w:r>
        <w:t xml:space="preserve">Eliminates VPN costs - No Cisco AnyConnect licensing (~$11,460-21,456/year for 25 users)</w:t>
      </w:r>
    </w:p>
    <w:p>
      <w:pPr>
        <w:pStyle w:val="ListParagraph"/>
        <w:numPr>
          <w:ilvl w:val="0"/>
          <w:numId w:val="2"/>
        </w:numPr>
      </w:pPr>
      <w:r>
        <w:t xml:space="preserve">No hardware required - No firewall or VPN appliance purchase (~$3,000-15,000)</w:t>
      </w:r>
    </w:p>
    <w:p>
      <w:pPr>
        <w:pStyle w:val="ListParagraph"/>
        <w:numPr>
          <w:ilvl w:val="0"/>
          <w:numId w:val="2"/>
        </w:numPr>
      </w:pPr>
      <w:r>
        <w:t xml:space="preserve">No per-user fees - Bastion flat monthly rate</w:t>
      </w:r>
    </w:p>
    <w:p>
      <w:pPr>
        <w:pStyle w:val="ListParagraph"/>
        <w:numPr>
          <w:ilvl w:val="0"/>
          <w:numId w:val="2"/>
        </w:numPr>
      </w:pPr>
      <w:r>
        <w:t xml:space="preserve">Predictable costs - Fixed $280/month for recommended configuration</w:t>
      </w:r>
    </w:p>
    <w:p>
      <w:pPr>
        <w:pStyle w:val="ListParagraph"/>
        <w:numPr>
          <w:ilvl w:val="0"/>
          <w:numId w:val="2"/>
        </w:numPr>
      </w:pPr>
      <w:r>
        <w:t xml:space="preserve">Saves staff time - Automated reports save 10-20 hours/week</w:t>
      </w:r>
    </w:p>
    <w:p>
      <w:pPr>
        <w:pStyle w:val="ListParagraph"/>
        <w:numPr>
          <w:ilvl w:val="0"/>
          <w:numId w:val="2"/>
        </w:numPr>
      </w:pPr>
      <w:r>
        <w:t xml:space="preserve">Standard SKU: ~$140/month - Predictable, affordable pricing</w:t>
      </w:r>
    </w:p>
    <w:p/>
    <w:p>
      <w:pPr>
        <w:pStyle w:val="Heading2"/>
      </w:pPr>
      <w:r>
        <w:t xml:space="preserve">Operational Excellence</w:t>
      </w:r>
    </w:p>
    <w:p>
      <w:pPr>
        <w:pStyle w:val="ListParagraph"/>
        <w:numPr>
          <w:ilvl w:val="0"/>
          <w:numId w:val="2"/>
        </w:numPr>
      </w:pPr>
      <w:r>
        <w:t xml:space="preserve">Zero-trust architecture - Never trust, always verify approach</w:t>
      </w:r>
    </w:p>
    <w:p>
      <w:pPr>
        <w:pStyle w:val="ListParagraph"/>
        <w:numPr>
          <w:ilvl w:val="0"/>
          <w:numId w:val="2"/>
        </w:numPr>
      </w:pPr>
      <w:r>
        <w:t xml:space="preserve">Fully managed service - Microsoft handles patching, updates, and maintenance</w:t>
      </w:r>
    </w:p>
    <w:p>
      <w:pPr>
        <w:pStyle w:val="ListParagraph"/>
        <w:numPr>
          <w:ilvl w:val="0"/>
          <w:numId w:val="2"/>
        </w:numPr>
      </w:pPr>
      <w:r>
        <w:t xml:space="preserve">Single access point - Centralized management for all VM access</w:t>
      </w:r>
    </w:p>
    <w:p>
      <w:pPr>
        <w:pStyle w:val="ListParagraph"/>
        <w:numPr>
          <w:ilvl w:val="0"/>
          <w:numId w:val="2"/>
        </w:numPr>
      </w:pPr>
      <w:r>
        <w:t xml:space="preserve">High availability - 99.95% uptime SLA with built-in redundancy</w:t>
      </w:r>
    </w:p>
    <w:p/>
    <w:p>
      <w:pPr>
        <w:pStyle w:val="Heading1"/>
      </w:pPr>
      <w:r>
        <w:t xml:space="preserve">Connection Flow</w:t>
      </w:r>
    </w:p>
    <w:p/>
    <w:p>
      <w:r>
        <w:rPr>
          <w:b/>
          <w:bCs/>
        </w:rPr>
        <w:t xml:space="preserve">Step 1: </w:t>
      </w:r>
      <w:r>
        <w:t xml:space="preserve">User authenticates with Entra ID in Azure Portal or CLI</w:t>
      </w:r>
    </w:p>
    <w:p>
      <w:r>
        <w:rPr>
          <w:b/>
          <w:bCs/>
        </w:rPr>
        <w:t xml:space="preserve">Step 2: </w:t>
      </w:r>
      <w:r>
        <w:t xml:space="preserve">Azure RBAC verifies user has Bastion access permissions</w:t>
      </w:r>
    </w:p>
    <w:p>
      <w:r>
        <w:rPr>
          <w:b/>
          <w:bCs/>
        </w:rPr>
        <w:t xml:space="preserve">Step 3: </w:t>
      </w:r>
      <w:r>
        <w:t xml:space="preserve">User selects target VM and connection method (RDP)</w:t>
      </w:r>
    </w:p>
    <w:p>
      <w:r>
        <w:rPr>
          <w:b/>
          <w:bCs/>
        </w:rPr>
        <w:t xml:space="preserve">Step 4: </w:t>
      </w:r>
      <w:r>
        <w:t xml:space="preserve">TLS connection established from user to Bastion public IP (443/tcp)</w:t>
      </w:r>
    </w:p>
    <w:p>
      <w:r>
        <w:rPr>
          <w:b/>
          <w:bCs/>
        </w:rPr>
        <w:t xml:space="preserve">Step 5: </w:t>
      </w:r>
      <w:r>
        <w:t xml:space="preserve">Bastion initiates connection to VM private IP via VNet</w:t>
      </w:r>
    </w:p>
    <w:p>
      <w:r>
        <w:rPr>
          <w:b/>
          <w:bCs/>
        </w:rPr>
        <w:t xml:space="preserve">Step 6: </w:t>
      </w:r>
      <w:r>
        <w:t xml:space="preserve">RDP (3389) traffic proxied through secure tunnel</w:t>
      </w:r>
    </w:p>
    <w:p>
      <w:r>
        <w:rPr>
          <w:b/>
          <w:bCs/>
        </w:rPr>
        <w:t xml:space="preserve">Step 7: </w:t>
      </w:r>
      <w:r>
        <w:t xml:space="preserve">Session fully encrypted end-to-end and logged to Azure Monitor</w:t>
      </w:r>
    </w:p>
    <w:p/>
    <w:p>
      <w:pPr>
        <w:pStyle w:val="Heading1"/>
      </w:pPr>
      <w:r>
        <w:t xml:space="preserve">Required Network Ports</w:t>
      </w:r>
    </w:p>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100"/>
          <w:left w:type="dxa" w:w="180"/>
          <w:bottom w:type="dxa" w:w="100"/>
          <w:right w:type="dxa" w:w="180"/>
        </w:tblCellMar>
      </w:tblPr>
      <w:tblGrid>
        <w:gridCol w:w="1872"/>
        <w:gridCol w:w="1872"/>
        <w:gridCol w:w="1872"/>
        <w:gridCol w:w="1872"/>
        <w:gridCol w:w="1872"/>
      </w:tblGrid>
      <w:tr>
        <w:trPr>
          <w:tblHeader/>
        </w:trPr>
        <w:tc>
          <w:tcPr>
            <w:tcW w:type="dxa" w:w="1872"/>
            <w:tcBorders>
              <w:top w:val="single" w:color="CCCCCC" w:sz="1"/>
              <w:left w:val="single" w:color="CCCCCC" w:sz="1"/>
              <w:bottom w:val="single" w:color="CCCCCC" w:sz="1"/>
              <w:right w:val="single" w:color="CCCCCC" w:sz="1"/>
            </w:tcBorders>
            <w:shd w:fill="D5E8F0" w:val="clear"/>
          </w:tcPr>
          <w:p>
            <w:pPr>
              <w:jc w:val="center"/>
            </w:pPr>
            <w:r>
              <w:rPr>
                <w:b/>
                <w:bCs/>
              </w:rPr>
              <w:t xml:space="preserve">Direction</w:t>
            </w:r>
          </w:p>
        </w:tc>
        <w:tc>
          <w:tcPr>
            <w:tcW w:type="dxa" w:w="1872"/>
            <w:tcBorders>
              <w:top w:val="single" w:color="CCCCCC" w:sz="1"/>
              <w:left w:val="single" w:color="CCCCCC" w:sz="1"/>
              <w:bottom w:val="single" w:color="CCCCCC" w:sz="1"/>
              <w:right w:val="single" w:color="CCCCCC" w:sz="1"/>
            </w:tcBorders>
            <w:shd w:fill="D5E8F0" w:val="clear"/>
          </w:tcPr>
          <w:p>
            <w:pPr>
              <w:jc w:val="center"/>
            </w:pPr>
            <w:r>
              <w:rPr>
                <w:b/>
                <w:bCs/>
              </w:rPr>
              <w:t xml:space="preserve">Source</w:t>
            </w:r>
          </w:p>
        </w:tc>
        <w:tc>
          <w:tcPr>
            <w:tcW w:type="dxa" w:w="1872"/>
            <w:tcBorders>
              <w:top w:val="single" w:color="CCCCCC" w:sz="1"/>
              <w:left w:val="single" w:color="CCCCCC" w:sz="1"/>
              <w:bottom w:val="single" w:color="CCCCCC" w:sz="1"/>
              <w:right w:val="single" w:color="CCCCCC" w:sz="1"/>
            </w:tcBorders>
            <w:shd w:fill="D5E8F0" w:val="clear"/>
          </w:tcPr>
          <w:p>
            <w:pPr>
              <w:jc w:val="center"/>
            </w:pPr>
            <w:r>
              <w:rPr>
                <w:b/>
                <w:bCs/>
              </w:rPr>
              <w:t xml:space="preserve">Destination</w:t>
            </w:r>
          </w:p>
        </w:tc>
        <w:tc>
          <w:tcPr>
            <w:tcW w:type="dxa" w:w="1872"/>
            <w:tcBorders>
              <w:top w:val="single" w:color="CCCCCC" w:sz="1"/>
              <w:left w:val="single" w:color="CCCCCC" w:sz="1"/>
              <w:bottom w:val="single" w:color="CCCCCC" w:sz="1"/>
              <w:right w:val="single" w:color="CCCCCC" w:sz="1"/>
            </w:tcBorders>
            <w:shd w:fill="D5E8F0" w:val="clear"/>
          </w:tcPr>
          <w:p>
            <w:pPr>
              <w:jc w:val="center"/>
            </w:pPr>
            <w:r>
              <w:rPr>
                <w:b/>
                <w:bCs/>
              </w:rPr>
              <w:t xml:space="preserve">Port</w:t>
            </w:r>
          </w:p>
        </w:tc>
        <w:tc>
          <w:tcPr>
            <w:tcW w:type="dxa" w:w="1872"/>
            <w:tcBorders>
              <w:top w:val="single" w:color="CCCCCC" w:sz="1"/>
              <w:left w:val="single" w:color="CCCCCC" w:sz="1"/>
              <w:bottom w:val="single" w:color="CCCCCC" w:sz="1"/>
              <w:right w:val="single" w:color="CCCCCC" w:sz="1"/>
            </w:tcBorders>
            <w:shd w:fill="D5E8F0" w:val="clear"/>
          </w:tcPr>
          <w:p>
            <w:pPr>
              <w:jc w:val="center"/>
            </w:pPr>
            <w:r>
              <w:rPr>
                <w:b/>
                <w:bCs/>
              </w:rPr>
              <w:t xml:space="preserve">Purpose</w:t>
            </w:r>
          </w:p>
        </w:tc>
      </w:tr>
      <w:tr>
        <w:tc>
          <w:tcPr>
            <w:tcW w:type="dxa" w:w="1872"/>
            <w:tcBorders>
              <w:top w:val="single" w:color="CCCCCC" w:sz="1"/>
              <w:left w:val="single" w:color="CCCCCC" w:sz="1"/>
              <w:bottom w:val="single" w:color="CCCCCC" w:sz="1"/>
              <w:right w:val="single" w:color="CCCCCC" w:sz="1"/>
            </w:tcBorders>
          </w:tcPr>
          <w:p>
            <w:r>
              <w:t xml:space="preserve">Inbound</w:t>
            </w:r>
          </w:p>
        </w:tc>
        <w:tc>
          <w:tcPr>
            <w:tcW w:type="dxa" w:w="1872"/>
            <w:tcBorders>
              <w:top w:val="single" w:color="CCCCCC" w:sz="1"/>
              <w:left w:val="single" w:color="CCCCCC" w:sz="1"/>
              <w:bottom w:val="single" w:color="CCCCCC" w:sz="1"/>
              <w:right w:val="single" w:color="CCCCCC" w:sz="1"/>
            </w:tcBorders>
          </w:tcPr>
          <w:p>
            <w:r>
              <w:t xml:space="preserve">Internet</w:t>
            </w:r>
          </w:p>
        </w:tc>
        <w:tc>
          <w:tcPr>
            <w:tcW w:type="dxa" w:w="1872"/>
            <w:tcBorders>
              <w:top w:val="single" w:color="CCCCCC" w:sz="1"/>
              <w:left w:val="single" w:color="CCCCCC" w:sz="1"/>
              <w:bottom w:val="single" w:color="CCCCCC" w:sz="1"/>
              <w:right w:val="single" w:color="CCCCCC" w:sz="1"/>
            </w:tcBorders>
          </w:tcPr>
          <w:p>
            <w:r>
              <w:t xml:space="preserve">Bastion</w:t>
            </w:r>
          </w:p>
        </w:tc>
        <w:tc>
          <w:tcPr>
            <w:tcW w:type="dxa" w:w="1872"/>
            <w:tcBorders>
              <w:top w:val="single" w:color="CCCCCC" w:sz="1"/>
              <w:left w:val="single" w:color="CCCCCC" w:sz="1"/>
              <w:bottom w:val="single" w:color="CCCCCC" w:sz="1"/>
              <w:right w:val="single" w:color="CCCCCC" w:sz="1"/>
            </w:tcBorders>
          </w:tcPr>
          <w:p>
            <w:r>
              <w:t xml:space="preserve">443</w:t>
            </w:r>
          </w:p>
        </w:tc>
        <w:tc>
          <w:tcPr>
            <w:tcW w:type="dxa" w:w="1872"/>
            <w:tcBorders>
              <w:top w:val="single" w:color="CCCCCC" w:sz="1"/>
              <w:left w:val="single" w:color="CCCCCC" w:sz="1"/>
              <w:bottom w:val="single" w:color="CCCCCC" w:sz="1"/>
              <w:right w:val="single" w:color="CCCCCC" w:sz="1"/>
            </w:tcBorders>
          </w:tcPr>
          <w:p>
            <w:r>
              <w:t xml:space="preserve">User access (HTTPS)</w:t>
            </w:r>
          </w:p>
        </w:tc>
      </w:tr>
      <w:tr>
        <w:tc>
          <w:tcPr>
            <w:tcW w:type="dxa" w:w="1872"/>
            <w:tcBorders>
              <w:top w:val="single" w:color="CCCCCC" w:sz="1"/>
              <w:left w:val="single" w:color="CCCCCC" w:sz="1"/>
              <w:bottom w:val="single" w:color="CCCCCC" w:sz="1"/>
              <w:right w:val="single" w:color="CCCCCC" w:sz="1"/>
            </w:tcBorders>
          </w:tcPr>
          <w:p>
            <w:r>
              <w:t xml:space="preserve">Inbound</w:t>
            </w:r>
          </w:p>
        </w:tc>
        <w:tc>
          <w:tcPr>
            <w:tcW w:type="dxa" w:w="1872"/>
            <w:tcBorders>
              <w:top w:val="single" w:color="CCCCCC" w:sz="1"/>
              <w:left w:val="single" w:color="CCCCCC" w:sz="1"/>
              <w:bottom w:val="single" w:color="CCCCCC" w:sz="1"/>
              <w:right w:val="single" w:color="CCCCCC" w:sz="1"/>
            </w:tcBorders>
          </w:tcPr>
          <w:p>
            <w:r>
              <w:t xml:space="preserve">GatewayManager</w:t>
            </w:r>
          </w:p>
        </w:tc>
        <w:tc>
          <w:tcPr>
            <w:tcW w:type="dxa" w:w="1872"/>
            <w:tcBorders>
              <w:top w:val="single" w:color="CCCCCC" w:sz="1"/>
              <w:left w:val="single" w:color="CCCCCC" w:sz="1"/>
              <w:bottom w:val="single" w:color="CCCCCC" w:sz="1"/>
              <w:right w:val="single" w:color="CCCCCC" w:sz="1"/>
            </w:tcBorders>
          </w:tcPr>
          <w:p>
            <w:r>
              <w:t xml:space="preserve">Bastion</w:t>
            </w:r>
          </w:p>
        </w:tc>
        <w:tc>
          <w:tcPr>
            <w:tcW w:type="dxa" w:w="1872"/>
            <w:tcBorders>
              <w:top w:val="single" w:color="CCCCCC" w:sz="1"/>
              <w:left w:val="single" w:color="CCCCCC" w:sz="1"/>
              <w:bottom w:val="single" w:color="CCCCCC" w:sz="1"/>
              <w:right w:val="single" w:color="CCCCCC" w:sz="1"/>
            </w:tcBorders>
          </w:tcPr>
          <w:p>
            <w:r>
              <w:t xml:space="preserve">443</w:t>
            </w:r>
          </w:p>
        </w:tc>
        <w:tc>
          <w:tcPr>
            <w:tcW w:type="dxa" w:w="1872"/>
            <w:tcBorders>
              <w:top w:val="single" w:color="CCCCCC" w:sz="1"/>
              <w:left w:val="single" w:color="CCCCCC" w:sz="1"/>
              <w:bottom w:val="single" w:color="CCCCCC" w:sz="1"/>
              <w:right w:val="single" w:color="CCCCCC" w:sz="1"/>
            </w:tcBorders>
          </w:tcPr>
          <w:p>
            <w:r>
              <w:t xml:space="preserve">Control plane</w:t>
            </w:r>
          </w:p>
        </w:tc>
      </w:tr>
      <w:tr>
        <w:tc>
          <w:tcPr>
            <w:tcW w:type="dxa" w:w="1872"/>
            <w:tcBorders>
              <w:top w:val="single" w:color="CCCCCC" w:sz="1"/>
              <w:left w:val="single" w:color="CCCCCC" w:sz="1"/>
              <w:bottom w:val="single" w:color="CCCCCC" w:sz="1"/>
              <w:right w:val="single" w:color="CCCCCC" w:sz="1"/>
            </w:tcBorders>
          </w:tcPr>
          <w:p>
            <w:r>
              <w:t xml:space="preserve">Outbound</w:t>
            </w:r>
          </w:p>
        </w:tc>
        <w:tc>
          <w:tcPr>
            <w:tcW w:type="dxa" w:w="1872"/>
            <w:tcBorders>
              <w:top w:val="single" w:color="CCCCCC" w:sz="1"/>
              <w:left w:val="single" w:color="CCCCCC" w:sz="1"/>
              <w:bottom w:val="single" w:color="CCCCCC" w:sz="1"/>
              <w:right w:val="single" w:color="CCCCCC" w:sz="1"/>
            </w:tcBorders>
          </w:tcPr>
          <w:p>
            <w:r>
              <w:t xml:space="preserve">Bastion</w:t>
            </w:r>
          </w:p>
        </w:tc>
        <w:tc>
          <w:tcPr>
            <w:tcW w:type="dxa" w:w="1872"/>
            <w:tcBorders>
              <w:top w:val="single" w:color="CCCCCC" w:sz="1"/>
              <w:left w:val="single" w:color="CCCCCC" w:sz="1"/>
              <w:bottom w:val="single" w:color="CCCCCC" w:sz="1"/>
              <w:right w:val="single" w:color="CCCCCC" w:sz="1"/>
            </w:tcBorders>
          </w:tcPr>
          <w:p>
            <w:r>
              <w:t xml:space="preserve">VMs</w:t>
            </w:r>
          </w:p>
        </w:tc>
        <w:tc>
          <w:tcPr>
            <w:tcW w:type="dxa" w:w="1872"/>
            <w:tcBorders>
              <w:top w:val="single" w:color="CCCCCC" w:sz="1"/>
              <w:left w:val="single" w:color="CCCCCC" w:sz="1"/>
              <w:bottom w:val="single" w:color="CCCCCC" w:sz="1"/>
              <w:right w:val="single" w:color="CCCCCC" w:sz="1"/>
            </w:tcBorders>
          </w:tcPr>
          <w:p>
            <w:r>
              <w:t xml:space="preserve">3389</w:t>
            </w:r>
          </w:p>
        </w:tc>
        <w:tc>
          <w:tcPr>
            <w:tcW w:type="dxa" w:w="1872"/>
            <w:tcBorders>
              <w:top w:val="single" w:color="CCCCCC" w:sz="1"/>
              <w:left w:val="single" w:color="CCCCCC" w:sz="1"/>
              <w:bottom w:val="single" w:color="CCCCCC" w:sz="1"/>
              <w:right w:val="single" w:color="CCCCCC" w:sz="1"/>
            </w:tcBorders>
          </w:tcPr>
          <w:p>
            <w:r>
              <w:t xml:space="preserve">RDP to Windows VMs</w:t>
            </w:r>
          </w:p>
        </w:tc>
      </w:tr>
      <w:tr>
        <w:tc>
          <w:tcPr>
            <w:tcW w:type="dxa" w:w="1872"/>
            <w:tcBorders>
              <w:top w:val="single" w:color="CCCCCC" w:sz="1"/>
              <w:left w:val="single" w:color="CCCCCC" w:sz="1"/>
              <w:bottom w:val="single" w:color="CCCCCC" w:sz="1"/>
              <w:right w:val="single" w:color="CCCCCC" w:sz="1"/>
            </w:tcBorders>
          </w:tcPr>
          <w:p>
            <w:r>
              <w:t xml:space="preserve">Outbound</w:t>
            </w:r>
          </w:p>
        </w:tc>
        <w:tc>
          <w:tcPr>
            <w:tcW w:type="dxa" w:w="1872"/>
            <w:tcBorders>
              <w:top w:val="single" w:color="CCCCCC" w:sz="1"/>
              <w:left w:val="single" w:color="CCCCCC" w:sz="1"/>
              <w:bottom w:val="single" w:color="CCCCCC" w:sz="1"/>
              <w:right w:val="single" w:color="CCCCCC" w:sz="1"/>
            </w:tcBorders>
          </w:tcPr>
          <w:p>
            <w:r>
              <w:t xml:space="preserve">Reporting VM</w:t>
            </w:r>
          </w:p>
        </w:tc>
        <w:tc>
          <w:tcPr>
            <w:tcW w:type="dxa" w:w="1872"/>
            <w:tcBorders>
              <w:top w:val="single" w:color="CCCCCC" w:sz="1"/>
              <w:left w:val="single" w:color="CCCCCC" w:sz="1"/>
              <w:bottom w:val="single" w:color="CCCCCC" w:sz="1"/>
              <w:right w:val="single" w:color="CCCCCC" w:sz="1"/>
            </w:tcBorders>
          </w:tcPr>
          <w:p>
            <w:r>
              <w:t xml:space="preserve">Internet</w:t>
            </w:r>
          </w:p>
        </w:tc>
        <w:tc>
          <w:tcPr>
            <w:tcW w:type="dxa" w:w="1872"/>
            <w:tcBorders>
              <w:top w:val="single" w:color="CCCCCC" w:sz="1"/>
              <w:left w:val="single" w:color="CCCCCC" w:sz="1"/>
              <w:bottom w:val="single" w:color="CCCCCC" w:sz="1"/>
              <w:right w:val="single" w:color="CCCCCC" w:sz="1"/>
            </w:tcBorders>
          </w:tcPr>
          <w:p>
            <w:r>
              <w:t xml:space="preserve">443</w:t>
            </w:r>
          </w:p>
        </w:tc>
        <w:tc>
          <w:tcPr>
            <w:tcW w:type="dxa" w:w="1872"/>
            <w:tcBorders>
              <w:top w:val="single" w:color="CCCCCC" w:sz="1"/>
              <w:left w:val="single" w:color="CCCCCC" w:sz="1"/>
              <w:bottom w:val="single" w:color="CCCCCC" w:sz="1"/>
              <w:right w:val="single" w:color="CCCCCC" w:sz="1"/>
            </w:tcBorders>
          </w:tcPr>
          <w:p>
            <w:r>
              <w:t xml:space="preserve">Windows Updates</w:t>
            </w:r>
          </w:p>
        </w:tc>
      </w:tr>
      <w:tr>
        <w:tc>
          <w:tcPr>
            <w:tcW w:type="dxa" w:w="1872"/>
            <w:tcBorders>
              <w:top w:val="single" w:color="CCCCCC" w:sz="1"/>
              <w:left w:val="single" w:color="CCCCCC" w:sz="1"/>
              <w:bottom w:val="single" w:color="CCCCCC" w:sz="1"/>
              <w:right w:val="single" w:color="CCCCCC" w:sz="1"/>
            </w:tcBorders>
          </w:tcPr>
          <w:p>
            <w:r>
              <w:t xml:space="preserve">Outbound</w:t>
            </w:r>
          </w:p>
        </w:tc>
        <w:tc>
          <w:tcPr>
            <w:tcW w:type="dxa" w:w="1872"/>
            <w:tcBorders>
              <w:top w:val="single" w:color="CCCCCC" w:sz="1"/>
              <w:left w:val="single" w:color="CCCCCC" w:sz="1"/>
              <w:bottom w:val="single" w:color="CCCCCC" w:sz="1"/>
              <w:right w:val="single" w:color="CCCCCC" w:sz="1"/>
            </w:tcBorders>
          </w:tcPr>
          <w:p>
            <w:r>
              <w:t xml:space="preserve">Reporting VM</w:t>
            </w:r>
          </w:p>
        </w:tc>
        <w:tc>
          <w:tcPr>
            <w:tcW w:type="dxa" w:w="1872"/>
            <w:tcBorders>
              <w:top w:val="single" w:color="CCCCCC" w:sz="1"/>
              <w:left w:val="single" w:color="CCCCCC" w:sz="1"/>
              <w:bottom w:val="single" w:color="CCCCCC" w:sz="1"/>
              <w:right w:val="single" w:color="CCCCCC" w:sz="1"/>
            </w:tcBorders>
          </w:tcPr>
          <w:p>
            <w:r>
              <w:t xml:space="preserve">Internet</w:t>
            </w:r>
          </w:p>
        </w:tc>
        <w:tc>
          <w:tcPr>
            <w:tcW w:type="dxa" w:w="1872"/>
            <w:tcBorders>
              <w:top w:val="single" w:color="CCCCCC" w:sz="1"/>
              <w:left w:val="single" w:color="CCCCCC" w:sz="1"/>
              <w:bottom w:val="single" w:color="CCCCCC" w:sz="1"/>
              <w:right w:val="single" w:color="CCCCCC" w:sz="1"/>
            </w:tcBorders>
          </w:tcPr>
          <w:p>
            <w:r>
              <w:t xml:space="preserve">25/587</w:t>
            </w:r>
          </w:p>
        </w:tc>
        <w:tc>
          <w:tcPr>
            <w:tcW w:type="dxa" w:w="1872"/>
            <w:tcBorders>
              <w:top w:val="single" w:color="CCCCCC" w:sz="1"/>
              <w:left w:val="single" w:color="CCCCCC" w:sz="1"/>
              <w:bottom w:val="single" w:color="CCCCCC" w:sz="1"/>
              <w:right w:val="single" w:color="CCCCCC" w:sz="1"/>
            </w:tcBorders>
          </w:tcPr>
          <w:p>
            <w:r>
              <w:t xml:space="preserve">SMTP email reports</w:t>
            </w:r>
          </w:p>
        </w:tc>
      </w:tr>
      <w:tr>
        <w:tc>
          <w:tcPr>
            <w:tcW w:type="dxa" w:w="1872"/>
            <w:tcBorders>
              <w:top w:val="single" w:color="CCCCCC" w:sz="1"/>
              <w:left w:val="single" w:color="CCCCCC" w:sz="1"/>
              <w:bottom w:val="single" w:color="CCCCCC" w:sz="1"/>
              <w:right w:val="single" w:color="CCCCCC" w:sz="1"/>
            </w:tcBorders>
          </w:tcPr>
          <w:p>
            <w:r>
              <w:t xml:space="preserve">Outbound</w:t>
            </w:r>
          </w:p>
        </w:tc>
        <w:tc>
          <w:tcPr>
            <w:tcW w:type="dxa" w:w="1872"/>
            <w:tcBorders>
              <w:top w:val="single" w:color="CCCCCC" w:sz="1"/>
              <w:left w:val="single" w:color="CCCCCC" w:sz="1"/>
              <w:bottom w:val="single" w:color="CCCCCC" w:sz="1"/>
              <w:right w:val="single" w:color="CCCCCC" w:sz="1"/>
            </w:tcBorders>
          </w:tcPr>
          <w:p>
            <w:r>
              <w:t xml:space="preserve">Bastion</w:t>
            </w:r>
          </w:p>
        </w:tc>
        <w:tc>
          <w:tcPr>
            <w:tcW w:type="dxa" w:w="1872"/>
            <w:tcBorders>
              <w:top w:val="single" w:color="CCCCCC" w:sz="1"/>
              <w:left w:val="single" w:color="CCCCCC" w:sz="1"/>
              <w:bottom w:val="single" w:color="CCCCCC" w:sz="1"/>
              <w:right w:val="single" w:color="CCCCCC" w:sz="1"/>
            </w:tcBorders>
          </w:tcPr>
          <w:p>
            <w:r>
              <w:t xml:space="preserve">Azure Storage</w:t>
            </w:r>
          </w:p>
        </w:tc>
        <w:tc>
          <w:tcPr>
            <w:tcW w:type="dxa" w:w="1872"/>
            <w:tcBorders>
              <w:top w:val="single" w:color="CCCCCC" w:sz="1"/>
              <w:left w:val="single" w:color="CCCCCC" w:sz="1"/>
              <w:bottom w:val="single" w:color="CCCCCC" w:sz="1"/>
              <w:right w:val="single" w:color="CCCCCC" w:sz="1"/>
            </w:tcBorders>
          </w:tcPr>
          <w:p>
            <w:r>
              <w:t xml:space="preserve">443</w:t>
            </w:r>
          </w:p>
        </w:tc>
        <w:tc>
          <w:tcPr>
            <w:tcW w:type="dxa" w:w="1872"/>
            <w:tcBorders>
              <w:top w:val="single" w:color="CCCCCC" w:sz="1"/>
              <w:left w:val="single" w:color="CCCCCC" w:sz="1"/>
              <w:bottom w:val="single" w:color="CCCCCC" w:sz="1"/>
              <w:right w:val="single" w:color="CCCCCC" w:sz="1"/>
            </w:tcBorders>
          </w:tcPr>
          <w:p>
            <w:r>
              <w:t xml:space="preserve">Session logs</w:t>
            </w:r>
          </w:p>
        </w:tc>
      </w:tr>
    </w:tbl>
    <w:p/>
    <w:p>
      <w:pPr>
        <w:pStyle w:val="Heading1"/>
      </w:pPr>
      <w:r>
        <w:t xml:space="preserve">Deployment Information</w:t>
      </w:r>
    </w:p>
    <w:p/>
    <w:p>
      <w:r>
        <w:rPr>
          <w:b/>
          <w:bCs/>
        </w:rPr>
        <w:t xml:space="preserve">Deployment Time: </w:t>
      </w:r>
      <w:r>
        <w:t xml:space="preserve">15-20 minutes</w:t>
      </w:r>
    </w:p>
    <w:p>
      <w:r>
        <w:rPr>
          <w:b/>
          <w:bCs/>
        </w:rPr>
        <w:t xml:space="preserve">Monthly Cost: </w:t>
      </w:r>
      <w:r>
        <w:t xml:space="preserve">~$280 for Standard SKU (recommended)</w:t>
      </w:r>
    </w:p>
    <w:p>
      <w:r>
        <w:rPr>
          <w:b/>
          <w:bCs/>
        </w:rPr>
        <w:t xml:space="preserve">Azure Regions: </w:t>
      </w:r>
      <w:r>
        <w:t xml:space="preserve">Available in all public Azure regions</w:t>
      </w:r>
    </w:p>
    <w:p>
      <w:r>
        <w:rPr>
          <w:b/>
          <w:bCs/>
        </w:rPr>
        <w:t xml:space="preserve">Prerequisites: </w:t>
      </w:r>
      <w:r>
        <w:t xml:space="preserve">VNet with /26 subnet available, Contributor or higher permissions</w:t>
      </w:r>
    </w:p>
    <w:p/>
    <w:p>
      <w:pPr>
        <w:pStyle w:val="Heading1"/>
      </w:pPr>
      <w:r>
        <w:t xml:space="preserve">Summary</w:t>
      </w:r>
    </w:p>
    <w:p>
      <w:r>
        <w:t xml:space="preserve">This standalone Bastion reporting server architecture provides the most cost-effective, secure, and reliable solution for automated report generation and distribution. With 73-85% cost savings compared to traditional VPN solutions, 99.95% uptime SLA, and zero management overhead, this architecture represents the best practice approach for reporting infrastructure in Azure.</w:t>
      </w:r>
    </w:p>
    <w:p/>
    <w:p>
      <w:r>
        <w:t xml:space="preserve">For organizations seeking to automate reporting, reduce costs, and improve security, this standalone Bastion reporting server solution is the optimal choice.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rFonts w:ascii="Arial" w:cs="Arial" w:eastAsia="Arial" w:hAnsi="Arial"/>
      <w:b/>
      <w:bCs/>
      <w:color w:val="0070C0"/>
      <w:sz w:val="48"/>
      <w:szCs w:val="48"/>
    </w:rPr>
  </w:style>
  <w:style w:type="paragraph" w:styleId="Subtitle">
    <w:name w:val="Subtitle"/>
    <w:basedOn w:val="Normal"/>
    <w:pPr>
      <w:spacing w:after="240"/>
      <w:jc w:val="center"/>
    </w:pPr>
    <w:rPr>
      <w:rFonts w:ascii="Arial" w:cs="Arial" w:eastAsia="Arial" w:hAnsi="Arial"/>
      <w:i/>
      <w:iCs/>
      <w:color w:val="000000"/>
      <w:sz w:val="28"/>
      <w:szCs w:val="28"/>
    </w:rPr>
  </w:style>
  <w:style w:type="paragraph" w:styleId="Heading1">
    <w:name w:val="Heading 1"/>
    <w:basedOn w:val="Normal"/>
    <w:next w:val="Normal"/>
    <w:pPr>
      <w:spacing w:before="240" w:after="120"/>
      <w:outlineLvl w:val="0"/>
    </w:pPr>
    <w:rPr>
      <w:rFonts w:ascii="Arial" w:cs="Arial" w:eastAsia="Arial" w:hAnsi="Arial"/>
      <w:b/>
      <w:bCs/>
      <w:color w:val="0070C0"/>
      <w:sz w:val="32"/>
      <w:szCs w:val="32"/>
    </w:rPr>
  </w:style>
  <w:style w:type="paragraph" w:styleId="Heading2">
    <w:name w:val="Heading 2"/>
    <w:basedOn w:val="Normal"/>
    <w:next w:val="Normal"/>
    <w:pPr>
      <w:spacing w:before="180" w:after="100"/>
      <w:outlineLvl w:val="1"/>
    </w:pPr>
    <w:rPr>
      <w:rFonts w:ascii="Arial" w:cs="Arial" w:eastAsia="Arial" w:hAnsi="Arial"/>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2025-11-03T02:12:41.853Z</dcterms:created>
  <dcterms:modified xsi:type="dcterms:W3CDTF">2025-11-03T02:12:41.853Z</dcterms:modified>
</cp:coreProperties>
</file>

<file path=docProps/custom.xml><?xml version="1.0" encoding="utf-8"?>
<Properties xmlns="http://schemas.openxmlformats.org/officeDocument/2006/custom-properties" xmlns:vt="http://schemas.openxmlformats.org/officeDocument/2006/docPropsVTypes"/>
</file>