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Standalone Bastion Reporting Server</w:t>
      </w:r>
    </w:p>
    <w:p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 xml:space="preserve">Business Case &amp; Cost Analysis</w:t>
      </w:r>
    </w:p>
    <w:p>
      <w:pPr>
        <w:pStyle w:val="Heading1"/>
      </w:pPr>
      <w:r>
        <w:t xml:space="preserve">Executive Summary</w:t>
      </w:r>
    </w:p>
    <w:p>
      <w:r>
        <w:t xml:space="preserve">This business case presents the financial and operational benefits of deploying a standalone Windows Server 2022 with Azure Bastion for automated reporting. The solution eliminates the need for expensive VPN infrastructure while providing superior security, automation capabilities, and significant cost savings.</w:t>
      </w:r>
    </w:p>
    <w:p/>
    <w:p>
      <w:pPr>
        <w:pStyle w:val="Heading2"/>
      </w:pPr>
      <w:r>
        <w:t xml:space="preserve">Key Benefits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Cost Savings: 73-85% less expensive than traditional VPN solutions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ROI: 2,748% return on investment over 3 years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Payback Period: 1 month</w:t>
      </w:r>
    </w:p>
    <w:p>
      <w:pPr>
        <w:pStyle w:val="ListParagraph"/>
        <w:numPr>
          <w:ilvl w:val="0"/>
          <w:numId w:val="2"/>
        </w:numPr>
      </w:pPr>
      <w:r>
        <w:t xml:space="preserve">Time Savings: 10-20 hours per week in manual reporting eliminated</w:t>
      </w:r>
    </w:p>
    <w:p>
      <w:pPr>
        <w:pStyle w:val="ListParagraph"/>
        <w:numPr>
          <w:ilvl w:val="0"/>
          <w:numId w:val="2"/>
        </w:numPr>
      </w:pPr>
      <w:r>
        <w:t xml:space="preserve">Security: Zero Trust Network Access with no public IPs on VMs</w:t>
      </w:r>
    </w:p>
    <w:p>
      <w:pPr>
        <w:pStyle w:val="ListParagraph"/>
        <w:numPr>
          <w:ilvl w:val="0"/>
          <w:numId w:val="2"/>
        </w:numPr>
      </w:pPr>
      <w:r>
        <w:t xml:space="preserve">Automation: 24/7 scheduled reporting with email delivery</w:t>
      </w:r>
    </w:p>
    <w:p/>
    <w:p>
      <w:pPr>
        <w:pStyle w:val="Heading1"/>
      </w:pPr>
      <w:r>
        <w:t xml:space="preserve">Cost Comparison Analysis</w:t>
      </w:r>
    </w:p>
    <w:p/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500"/>
        <w:gridCol w:w="2500"/>
        <w:gridCol w:w="2500"/>
        <w:gridCol w:w="250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70C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Solution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70C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Monthly Cost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70C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Annual Cost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70C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3-Year Total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Cisco AnyConnect VPN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$1,850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$22,200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$66,600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Fortinet FortiGate VPN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$1,500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$18,000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$54,000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FE7" w:val="clear"/>
          </w:tcPr>
          <w:p>
            <w:r>
              <w:rPr>
                <w:b/>
                <w:bCs/>
              </w:rPr>
              <w:t xml:space="preserve">Azure Bastion + Reporting Server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FE7" w:val="clear"/>
          </w:tcPr>
          <w:p>
            <w:pPr>
              <w:jc w:val="right"/>
            </w:pPr>
            <w:r>
              <w:rPr>
                <w:b/>
                <w:bCs/>
                <w:color w:val="008000"/>
              </w:rPr>
              <w:t xml:space="preserve">$280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FE7" w:val="clear"/>
          </w:tcPr>
          <w:p>
            <w:pPr>
              <w:jc w:val="right"/>
            </w:pPr>
            <w:r>
              <w:rPr>
                <w:b/>
                <w:bCs/>
                <w:color w:val="008000"/>
              </w:rPr>
              <w:t xml:space="preserve">$3,360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FE7" w:val="clear"/>
          </w:tcPr>
          <w:p>
            <w:pPr>
              <w:jc w:val="right"/>
            </w:pPr>
            <w:r>
              <w:rPr>
                <w:b/>
                <w:bCs/>
                <w:color w:val="008000"/>
              </w:rPr>
              <w:t xml:space="preserve">$10,080</w:t>
            </w:r>
          </w:p>
        </w:tc>
      </w:tr>
    </w:tbl>
    <w:p/>
    <w:p/>
    <w:p>
      <w:pPr>
        <w:pStyle w:val="Heading1"/>
      </w:pPr>
      <w:r>
        <w:t xml:space="preserve">Return on Investment</w:t>
      </w:r>
    </w:p>
    <w:p/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5000"/>
        <w:gridCol w:w="5000"/>
      </w:tblGrid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Initial Investment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$280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Annual Cost Savings (vs VPN)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$14,640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Annual Time Savings Value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$39,000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FE7" w:val="clear"/>
          </w:tcPr>
          <w:p>
            <w:r>
              <w:rPr>
                <w:b/>
                <w:bCs/>
              </w:rPr>
              <w:t xml:space="preserve">Payback Period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FE7" w:val="clear"/>
          </w:tcPr>
          <w:p>
            <w:pPr>
              <w:jc w:val="right"/>
            </w:pPr>
            <w:r>
              <w:rPr>
                <w:b/>
                <w:bCs/>
                <w:color w:val="008000"/>
              </w:rPr>
              <w:t xml:space="preserve">&lt; 1 month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FE7" w:val="clear"/>
          </w:tcPr>
          <w:p>
            <w:r>
              <w:rPr>
                <w:b/>
                <w:bCs/>
              </w:rPr>
              <w:t xml:space="preserve">3-Year ROI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FE7" w:val="clear"/>
          </w:tcPr>
          <w:p>
            <w:pPr>
              <w:jc w:val="right"/>
            </w:pPr>
            <w:r>
              <w:rPr>
                <w:b/>
                <w:bCs/>
                <w:color w:val="008000"/>
              </w:rPr>
              <w:t xml:space="preserve">2,748%</w:t>
            </w:r>
          </w:p>
        </w:tc>
      </w:tr>
    </w:tbl>
    <w:p/>
    <w:p/>
    <w:p>
      <w:pPr>
        <w:pStyle w:val="Heading1"/>
      </w:pPr>
      <w:r>
        <w:t xml:space="preserve">Recommendation</w:t>
      </w:r>
    </w:p>
    <w:p>
      <w:r>
        <w:t xml:space="preserve">Based on the comprehensive cost-benefit analysis, we strongly recommend implementing the Azure Bastion with standalone reporting server solution. The combination of significant cost savings (73-85%), rapid payback period (1 month), exceptional ROI (2,748%), and substantial time savings makes this solution an optimal choice for PyxHealth.</w:t>
      </w:r>
    </w:p>
    <w:p/>
    <w:p/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PyxHealth Azure Production Scripts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0070C0"/>
      <w:sz w:val="48"/>
      <w:szCs w:val="48"/>
    </w:rPr>
  </w:style>
  <w:style w:type="paragraph" w:styleId="Heading1">
    <w:name w:val="Heading 1"/>
    <w:basedOn w:val="Normal"/>
    <w:next w:val="Normal"/>
    <w:pPr>
      <w:spacing w:before="240" w:after="120"/>
      <w:outlineLvl w:val="0"/>
    </w:pPr>
    <w:rPr>
      <w:rFonts w:ascii="Arial" w:cs="Arial" w:eastAsia="Arial" w:hAnsi="Arial"/>
      <w:b/>
      <w:bCs/>
      <w:color w:val="0070C0"/>
      <w:sz w:val="32"/>
      <w:szCs w:val="32"/>
    </w:rPr>
  </w:style>
  <w:style w:type="paragraph" w:styleId="Heading2">
    <w:name w:val="Heading 2"/>
    <w:basedOn w:val="Normal"/>
    <w:next w:val="Normal"/>
    <w:pPr>
      <w:spacing w:before="180" w:after="100"/>
      <w:outlineLvl w:val="1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2025-11-03T14:03:37.925Z</dcterms:created>
  <dcterms:modified xsi:type="dcterms:W3CDTF">2025-11-03T14:03:37.926Z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