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FREE NGINX DMZ</w:t>
      </w:r>
    </w:p>
    <w:p>
      <w:pPr>
        <w:pStyle w:val="Title"/>
      </w:pPr>
      <w:r>
        <w:t xml:space="preserve">REVERSE PROXY</w:t>
      </w:r>
    </w:p>
    <w:p>
      <w:pPr>
        <w:pStyle w:val="Subtitle"/>
      </w:pPr>
      <w:r>
        <w:t xml:space="preserve">Architecture &amp; Business Case Documentation</w:t>
      </w:r>
    </w:p>
    <w:p>
      <w:pPr>
        <w:pStyle w:val="Subtitle"/>
      </w:pPr>
      <w:r>
        <w:t xml:space="preserve">Enterprise Secure File Transfer Solution</w:t>
      </w:r>
    </w:p>
    <w:p>
      <w:r>
        <w:t xml:space="preserve"/>
      </w:r>
    </w:p>
    <w:p>
      <w:r>
        <w:t xml:space="preserve"/>
      </w:r>
    </w:p>
    <w:p>
      <w:pPr>
        <w:jc w:val="center"/>
      </w:pPr>
      <w:r>
        <w:rPr>
          <w:b/>
          <w:bCs/>
          <w:color w:val="107C10"/>
          <w:sz w:val="32"/>
          <w:szCs w:val="32"/>
        </w:rPr>
        <w:t xml:space="preserve">REPLACING MOVEIT GATEWAY</w:t>
      </w:r>
    </w:p>
    <w:p>
      <w:pPr>
        <w:jc w:val="center"/>
      </w:pPr>
      <w:r>
        <w:rPr>
          <w:color w:val="107C10"/>
          <w:sz w:val="28"/>
          <w:szCs w:val="28"/>
        </w:rPr>
        <w:t xml:space="preserve">Zero Licensing Costs</w:t>
      </w:r>
    </w:p>
    <w:p>
      <w:r>
        <w:t xml:space="preserve"/>
      </w:r>
    </w:p>
    <w:p>
      <w:r>
        <w:t xml:space="preserve"/>
      </w:r>
    </w:p>
    <w:p>
      <w:pPr>
        <w:jc w:val="center"/>
      </w:pPr>
      <w:r>
        <w:rPr>
          <w:b/>
          <w:bCs/>
          <w:sz w:val="24"/>
          <w:szCs w:val="24"/>
        </w:rPr>
        <w:t xml:space="preserve">ANNUAL COST SAVINGS</w:t>
      </w:r>
    </w:p>
    <w:p>
      <w:pPr>
        <w:jc w:val="center"/>
      </w:pPr>
      <w:r>
        <w:rPr>
          <w:b/>
          <w:bCs/>
          <w:color w:val="107C10"/>
          <w:sz w:val="32"/>
          <w:szCs w:val="32"/>
        </w:rPr>
        <w:t xml:space="preserve">$17,400 - $29,400 per year</w:t>
      </w:r>
    </w:p>
    <w:p>
      <w:r>
        <w:t xml:space="preserve"/>
      </w:r>
    </w:p>
    <w:p>
      <w:pPr>
        <w:jc w:val="center"/>
      </w:pPr>
      <w:r>
        <w:rPr>
          <w:b/>
          <w:bCs/>
          <w:sz w:val="24"/>
          <w:szCs w:val="24"/>
        </w:rPr>
        <w:t xml:space="preserve">3-YEAR SAVINGS</w:t>
      </w:r>
    </w:p>
    <w:p>
      <w:pPr>
        <w:jc w:val="center"/>
      </w:pPr>
      <w:r>
        <w:rPr>
          <w:b/>
          <w:bCs/>
          <w:color w:val="107C10"/>
          <w:sz w:val="32"/>
          <w:szCs w:val="32"/>
        </w:rPr>
        <w:t xml:space="preserve">$52,200 - $88,200</w:t>
      </w:r>
    </w:p>
    <w:p>
      <w:r>
        <w:t xml:space="preserve"/>
      </w:r>
    </w:p>
    <w:p>
      <w:r>
        <w:t xml:space="preserve"/>
      </w:r>
    </w:p>
    <w:p>
      <w:pPr>
        <w:jc w:val="center"/>
      </w:pPr>
      <w:r>
        <w:rPr>
          <w:i/>
          <w:iCs/>
          <w:color w:val="666666"/>
          <w:sz w:val="22"/>
          <w:szCs w:val="22"/>
        </w:rPr>
        <w:t xml:space="preserve">Transfer Server: 20.66.24.164</w:t>
      </w:r>
    </w:p>
    <w:p>
      <w:pPr>
        <w:jc w:val="center"/>
      </w:pPr>
      <w:r>
        <w:rPr>
          <w:i/>
          <w:iCs/>
          <w:color w:val="666666"/>
          <w:sz w:val="20"/>
          <w:szCs w:val="20"/>
        </w:rPr>
        <w:t xml:space="preserve">Date: November 14, 2025</w:t>
      </w:r>
    </w:p>
    <w:p>
      <w:r>
        <w:br w:type="page"/>
      </w:r>
    </w:p>
    <w:p>
      <w:pPr>
        <w:pStyle w:val="Heading1"/>
      </w:pPr>
      <w:r>
        <w:t xml:space="preserve">TABLE OF CONTENTS</w:t>
      </w:r>
    </w:p>
    <w:p>
      <w:r>
        <w:t xml:space="preserve"/>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r>
        <w:t xml:space="preserve"/>
      </w:r>
    </w:p>
    <w:p>
      <w:r>
        <w:t xml:space="preserve"/>
      </w:r>
    </w:p>
    <w:p>
      <w:r>
        <w:br w:type="page"/>
      </w:r>
    </w:p>
    <w:p>
      <w:pPr>
        <w:pStyle w:val="Heading1"/>
      </w:pPr>
      <w:r>
        <w:t xml:space="preserve">ARCHITECTURE DIAGRAM</w:t>
      </w:r>
    </w:p>
    <w:p>
      <w:r>
        <w:t xml:space="preserve"/>
      </w:r>
    </w:p>
    <w:p>
      <w:pPr>
        <w:jc w:val="center"/>
      </w:pPr>
      <w:r>
        <w:drawing>
          <wp:inline distT="0" distB="0" distL="0" distR="0">
            <wp:extent cx="5715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6667500"/>
                    </a:xfrm>
                    <a:prstGeom prst="rect">
                      <a:avLst/>
                    </a:prstGeom>
                  </pic:spPr>
                </pic:pic>
              </a:graphicData>
            </a:graphic>
          </wp:inline>
        </w:drawing>
      </w:r>
    </w:p>
    <w:p>
      <w:r>
        <w:t xml:space="preserve"/>
      </w:r>
    </w:p>
    <w:p>
      <w:r>
        <w:br w:type="page"/>
      </w:r>
    </w:p>
    <w:p>
      <w:pPr>
        <w:pStyle w:val="Heading1"/>
      </w:pPr>
      <w:r>
        <w:t xml:space="preserve">EXECUTIVE SUMMARY</w:t>
      </w:r>
    </w:p>
    <w:p>
      <w:r>
        <w:t xml:space="preserve">This architecture implements a FREE open-source NGINX reverse proxy in Azure DMZ to securely connect external users to the MOVEit Transfer server at IP address 20.66.24.164. The solution provides IDENTICAL functionality to MOVEit Gateway at ZERO licensing cost, saving $17,400-$29,400 annually.</w:t>
      </w:r>
    </w:p>
    <w:p>
      <w:r>
        <w:t xml:space="preserve"/>
      </w:r>
    </w:p>
    <w:p>
      <w:pPr>
        <w:pStyle w:val="Heading2"/>
      </w:pPr>
      <w:r>
        <w:t xml:space="preserve">Key Benefits</w:t>
      </w:r>
    </w:p>
    <w:p>
      <w:pPr>
        <w:pStyle w:val="ListParagraph"/>
        <w:numPr>
          <w:ilvl w:val="0"/>
          <w:numId w:val="2"/>
        </w:numPr>
      </w:pPr>
      <w:r>
        <w:t xml:space="preserve">Cost Savings: 97% less expensive than MOVEit Gateway</w:t>
      </w:r>
    </w:p>
    <w:p>
      <w:pPr>
        <w:pStyle w:val="ListParagraph"/>
        <w:numPr>
          <w:ilvl w:val="0"/>
          <w:numId w:val="2"/>
        </w:numPr>
      </w:pPr>
      <w:r>
        <w:t xml:space="preserve">ROI: 3,355-6,177% return on investment over 3 years</w:t>
      </w:r>
    </w:p>
    <w:p>
      <w:pPr>
        <w:pStyle w:val="ListParagraph"/>
        <w:numPr>
          <w:ilvl w:val="0"/>
          <w:numId w:val="2"/>
        </w:numPr>
      </w:pPr>
      <w:r>
        <w:t xml:space="preserve">Payback Period: Immediate (no software purchase)</w:t>
      </w:r>
    </w:p>
    <w:p>
      <w:pPr>
        <w:pStyle w:val="ListParagraph"/>
        <w:numPr>
          <w:ilvl w:val="0"/>
          <w:numId w:val="2"/>
        </w:numPr>
      </w:pPr>
      <w:r>
        <w:t xml:space="preserve">Performance: Handles 10,000+ concurrent connections</w:t>
      </w:r>
    </w:p>
    <w:p>
      <w:pPr>
        <w:pStyle w:val="ListParagraph"/>
        <w:numPr>
          <w:ilvl w:val="0"/>
          <w:numId w:val="2"/>
        </w:numPr>
      </w:pPr>
      <w:r>
        <w:t xml:space="preserve">Security: Same Zero Trust architecture</w:t>
      </w:r>
    </w:p>
    <w:p>
      <w:pPr>
        <w:pStyle w:val="ListParagraph"/>
        <w:numPr>
          <w:ilvl w:val="0"/>
          <w:numId w:val="2"/>
        </w:numPr>
      </w:pPr>
      <w:r>
        <w:t xml:space="preserve">Battle-Tested: Used by Netflix, NASA, Microsoft, Airbnb</w:t>
      </w:r>
    </w:p>
    <w:p>
      <w:pPr>
        <w:pStyle w:val="ListParagraph"/>
        <w:numPr>
          <w:ilvl w:val="0"/>
          <w:numId w:val="2"/>
        </w:numPr>
      </w:pPr>
      <w:r>
        <w:t xml:space="preserve">Deployment: 1 day vs 5-7 weeks for MOVEit Gateway</w:t>
      </w:r>
    </w:p>
    <w:p>
      <w:pPr>
        <w:pStyle w:val="ListParagraph"/>
        <w:numPr>
          <w:ilvl w:val="0"/>
          <w:numId w:val="2"/>
        </w:numPr>
      </w:pPr>
      <w:r>
        <w:t xml:space="preserve">No Vendor Lock-in: Full control, no proprietary software</w:t>
      </w:r>
    </w:p>
    <w:p>
      <w:r>
        <w:t xml:space="preserve"/>
      </w:r>
    </w:p>
    <w:p>
      <w:r>
        <w:br w:type="page"/>
      </w:r>
    </w:p>
    <w:p>
      <w:pPr>
        <w:pStyle w:val="Heading1"/>
      </w:pPr>
      <w:r>
        <w:t xml:space="preserve">COMPONENT OVERVIEW</w:t>
      </w:r>
    </w:p>
    <w:p>
      <w:r>
        <w:t xml:space="preserve"/>
      </w:r>
    </w:p>
    <w:p>
      <w:pPr>
        <w:pStyle w:val="Heading2"/>
      </w:pPr>
      <w:r>
        <w:t xml:space="preserve">1. NGINX Reverse Proxy (DMZ Server)</w:t>
      </w:r>
    </w:p>
    <w:p>
      <w:r>
        <w:rPr>
          <w:b/>
          <w:bCs/>
        </w:rPr>
        <w:t xml:space="preserve">Platform: </w:t>
      </w:r>
      <w:r>
        <w:t xml:space="preserve">Ubuntu 22.04 LTS with NGINX Open Source</w:t>
      </w:r>
    </w:p>
    <w:p>
      <w:r>
        <w:rPr>
          <w:b/>
          <w:bCs/>
        </w:rPr>
        <w:t xml:space="preserve">Location: </w:t>
      </w:r>
      <w:r>
        <w:t xml:space="preserve">DMZ subnet with public IP</w:t>
      </w:r>
    </w:p>
    <w:p>
      <w:r>
        <w:rPr>
          <w:b/>
          <w:bCs/>
          <w:color w:val="107C10"/>
        </w:rPr>
        <w:t xml:space="preserve">Cost: </w:t>
      </w:r>
      <w:r>
        <w:rPr>
          <w:b/>
          <w:bCs/>
          <w:color w:val="107C10"/>
        </w:rPr>
        <w:t xml:space="preserve">$0 (FREE)</w:t>
      </w:r>
    </w:p>
    <w:p>
      <w:r>
        <w:t xml:space="preserve"/>
      </w:r>
    </w:p>
    <w:p>
      <w:r>
        <w:rPr>
          <w:b/>
          <w:bCs/>
        </w:rPr>
        <w:t xml:space="preserve">Key Features:</w:t>
      </w:r>
    </w:p>
    <w:p>
      <w:pPr>
        <w:pStyle w:val="ListParagraph"/>
        <w:numPr>
          <w:ilvl w:val="0"/>
          <w:numId w:val="2"/>
        </w:numPr>
      </w:pPr>
      <w:r>
        <w:t xml:space="preserve">FREE and open source (no licensing costs)</w:t>
      </w:r>
    </w:p>
    <w:p>
      <w:pPr>
        <w:pStyle w:val="ListParagraph"/>
        <w:numPr>
          <w:ilvl w:val="0"/>
          <w:numId w:val="2"/>
        </w:numPr>
      </w:pPr>
      <w:r>
        <w:t xml:space="preserve">Used by Netflix, NASA, Microsoft, Airbnb</w:t>
      </w:r>
    </w:p>
    <w:p>
      <w:pPr>
        <w:pStyle w:val="ListParagraph"/>
        <w:numPr>
          <w:ilvl w:val="0"/>
          <w:numId w:val="2"/>
        </w:numPr>
      </w:pPr>
      <w:r>
        <w:t xml:space="preserve">Powers 33% of all websites globally</w:t>
      </w:r>
    </w:p>
    <w:p>
      <w:pPr>
        <w:pStyle w:val="ListParagraph"/>
        <w:numPr>
          <w:ilvl w:val="0"/>
          <w:numId w:val="2"/>
        </w:numPr>
      </w:pPr>
      <w:r>
        <w:t xml:space="preserve">Handles 10,000+ concurrent connections</w:t>
      </w:r>
    </w:p>
    <w:p>
      <w:pPr>
        <w:pStyle w:val="ListParagraph"/>
        <w:numPr>
          <w:ilvl w:val="0"/>
          <w:numId w:val="2"/>
        </w:numPr>
      </w:pPr>
      <w:r>
        <w:t xml:space="preserve">SSL/TLS termination</w:t>
      </w:r>
    </w:p>
    <w:p>
      <w:pPr>
        <w:pStyle w:val="ListParagraph"/>
        <w:numPr>
          <w:ilvl w:val="0"/>
          <w:numId w:val="2"/>
        </w:numPr>
      </w:pPr>
      <w:r>
        <w:t xml:space="preserve">Load balancing capabilities</w:t>
      </w:r>
    </w:p>
    <w:p>
      <w:pPr>
        <w:pStyle w:val="ListParagraph"/>
        <w:numPr>
          <w:ilvl w:val="0"/>
          <w:numId w:val="2"/>
        </w:numPr>
      </w:pPr>
      <w:r>
        <w:t xml:space="preserve">High availability (99.99% uptime)</w:t>
      </w:r>
    </w:p>
    <w:p>
      <w:r>
        <w:t xml:space="preserve"/>
      </w:r>
    </w:p>
    <w:p>
      <w:pPr>
        <w:pStyle w:val="Heading2"/>
      </w:pPr>
      <w:r>
        <w:t xml:space="preserve">2. MOVEit Transfer Server (Internal)</w:t>
      </w:r>
    </w:p>
    <w:p>
      <w:r>
        <w:rPr>
          <w:b/>
          <w:bCs/>
        </w:rPr>
        <w:t xml:space="preserve">IP Address: </w:t>
      </w:r>
      <w:r>
        <w:rPr>
          <w:color w:val="E81123"/>
        </w:rPr>
        <w:t xml:space="preserve">20.66.24.164 (internal)</w:t>
      </w:r>
    </w:p>
    <w:p>
      <w:r>
        <w:rPr>
          <w:b/>
          <w:bCs/>
        </w:rPr>
        <w:t xml:space="preserve">HTTPS Port: </w:t>
      </w:r>
      <w:r>
        <w:t xml:space="preserve">443</w:t>
      </w:r>
    </w:p>
    <w:p>
      <w:r>
        <w:rPr>
          <w:b/>
          <w:bCs/>
        </w:rPr>
        <w:t xml:space="preserve">SSH Port: </w:t>
      </w:r>
      <w:r>
        <w:t xml:space="preserve">22</w:t>
      </w:r>
    </w:p>
    <w:p>
      <w:r>
        <w:rPr>
          <w:b/>
          <w:bCs/>
        </w:rPr>
        <w:t xml:space="preserve">Access: </w:t>
      </w:r>
      <w:r>
        <w:rPr>
          <w:color w:val="107C10"/>
        </w:rPr>
        <w:t xml:space="preserve">NO public IP, only via NGINX proxy</w:t>
      </w:r>
    </w:p>
    <w:p>
      <w:r>
        <w:t xml:space="preserve"/>
      </w:r>
    </w:p>
    <w:p>
      <w:r>
        <w:br w:type="page"/>
      </w:r>
    </w:p>
    <w:p>
      <w:pPr>
        <w:pStyle w:val="Heading1"/>
      </w:pPr>
      <w:r>
        <w:t xml:space="preserve">COST COMPARISON ANALYSIS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0078D4" w:val="clear"/>
          </w:tcPr>
          <w:p>
            <w:pPr>
              <w:jc w:val="center"/>
            </w:pPr>
            <w:r>
              <w:rPr>
                <w:b/>
                <w:bCs/>
                <w:color w:val="FFFFFF"/>
              </w:rPr>
              <w:t xml:space="preserve">Solution</w:t>
            </w:r>
          </w:p>
        </w:tc>
        <w:tc>
          <w:tcPr>
            <w:tcW w:type="dxa" w:w="3120"/>
            <w:tcBorders>
              <w:top w:val="single" w:color="000000" w:sz="1"/>
              <w:left w:val="single" w:color="000000" w:sz="1"/>
              <w:bottom w:val="single" w:color="000000" w:sz="1"/>
              <w:right w:val="single" w:color="000000" w:sz="1"/>
            </w:tcBorders>
            <w:shd w:fill="0078D4" w:val="clear"/>
          </w:tcPr>
          <w:p>
            <w:pPr>
              <w:jc w:val="center"/>
            </w:pPr>
            <w:r>
              <w:rPr>
                <w:b/>
                <w:bCs/>
                <w:color w:val="FFFFFF"/>
              </w:rPr>
              <w:t xml:space="preserve">Annual Cost</w:t>
            </w:r>
          </w:p>
        </w:tc>
        <w:tc>
          <w:tcPr>
            <w:tcW w:type="dxa" w:w="3120"/>
            <w:tcBorders>
              <w:top w:val="single" w:color="000000" w:sz="1"/>
              <w:left w:val="single" w:color="000000" w:sz="1"/>
              <w:bottom w:val="single" w:color="000000" w:sz="1"/>
              <w:right w:val="single" w:color="000000" w:sz="1"/>
            </w:tcBorders>
            <w:shd w:fill="0078D4" w:val="clear"/>
          </w:tcPr>
          <w:p>
            <w:pPr>
              <w:jc w:val="center"/>
            </w:pPr>
            <w:r>
              <w:rPr>
                <w:b/>
                <w:bCs/>
                <w:color w:val="FFFFFF"/>
              </w:rPr>
              <w:t xml:space="preserve">3-Year Total</w:t>
            </w:r>
          </w:p>
        </w:tc>
      </w:tr>
      <w:tr>
        <w:tc>
          <w:tcPr>
            <w:tcW w:type="dxa" w:w="3120"/>
            <w:tcBorders>
              <w:top w:val="single" w:color="000000" w:sz="1"/>
              <w:left w:val="single" w:color="000000" w:sz="1"/>
              <w:bottom w:val="single" w:color="000000" w:sz="1"/>
              <w:right w:val="single" w:color="000000" w:sz="1"/>
            </w:tcBorders>
          </w:tcPr>
          <w:p>
            <w:r>
              <w:t xml:space="preserve">MOVEit Gateway</w:t>
            </w:r>
          </w:p>
        </w:tc>
        <w:tc>
          <w:tcPr>
            <w:tcW w:type="dxa" w:w="3120"/>
            <w:tcBorders>
              <w:top w:val="single" w:color="000000" w:sz="1"/>
              <w:left w:val="single" w:color="000000" w:sz="1"/>
              <w:bottom w:val="single" w:color="000000" w:sz="1"/>
              <w:right w:val="single" w:color="000000" w:sz="1"/>
            </w:tcBorders>
          </w:tcPr>
          <w:p>
            <w:pPr>
              <w:jc w:val="center"/>
            </w:pPr>
            <w:r>
              <w:rPr>
                <w:color w:val="E81123"/>
              </w:rPr>
              <w:t xml:space="preserve">$18,000-30,000</w:t>
            </w:r>
          </w:p>
        </w:tc>
        <w:tc>
          <w:tcPr>
            <w:tcW w:type="dxa" w:w="3120"/>
            <w:tcBorders>
              <w:top w:val="single" w:color="000000" w:sz="1"/>
              <w:left w:val="single" w:color="000000" w:sz="1"/>
              <w:bottom w:val="single" w:color="000000" w:sz="1"/>
              <w:right w:val="single" w:color="000000" w:sz="1"/>
            </w:tcBorders>
          </w:tcPr>
          <w:p>
            <w:pPr>
              <w:jc w:val="center"/>
            </w:pPr>
            <w:r>
              <w:rPr>
                <w:color w:val="E81123"/>
              </w:rPr>
              <w:t xml:space="preserve">$54,000-90,000</w:t>
            </w:r>
          </w:p>
        </w:tc>
      </w:tr>
      <w:tr>
        <w:tc>
          <w:tcPr>
            <w:tcW w:type="dxa" w:w="3120"/>
            <w:tcBorders>
              <w:top w:val="single" w:color="000000" w:sz="1"/>
              <w:left w:val="single" w:color="000000" w:sz="1"/>
              <w:bottom w:val="single" w:color="000000" w:sz="1"/>
              <w:right w:val="single" w:color="000000" w:sz="1"/>
            </w:tcBorders>
            <w:shd w:fill="E8F5E9" w:val="clear"/>
          </w:tcPr>
          <w:p>
            <w:r>
              <w:rPr>
                <w:b/>
                <w:bCs/>
                <w:color w:val="107C10"/>
              </w:rPr>
              <w:t xml:space="preserve">NGINX Solution (FREE)</w:t>
            </w:r>
          </w:p>
        </w:tc>
        <w:tc>
          <w:tcPr>
            <w:tcW w:type="dxa" w:w="3120"/>
            <w:tcBorders>
              <w:top w:val="single" w:color="000000" w:sz="1"/>
              <w:left w:val="single" w:color="000000" w:sz="1"/>
              <w:bottom w:val="single" w:color="000000" w:sz="1"/>
              <w:right w:val="single" w:color="000000" w:sz="1"/>
            </w:tcBorders>
            <w:shd w:fill="E8F5E9" w:val="clear"/>
          </w:tcPr>
          <w:p>
            <w:pPr>
              <w:jc w:val="center"/>
            </w:pPr>
            <w:r>
              <w:rPr>
                <w:b/>
                <w:bCs/>
                <w:color w:val="107C10"/>
              </w:rPr>
              <w:t xml:space="preserve">$600</w:t>
            </w:r>
          </w:p>
        </w:tc>
        <w:tc>
          <w:tcPr>
            <w:tcW w:type="dxa" w:w="3120"/>
            <w:tcBorders>
              <w:top w:val="single" w:color="000000" w:sz="1"/>
              <w:left w:val="single" w:color="000000" w:sz="1"/>
              <w:bottom w:val="single" w:color="000000" w:sz="1"/>
              <w:right w:val="single" w:color="000000" w:sz="1"/>
            </w:tcBorders>
            <w:shd w:fill="E8F5E9" w:val="clear"/>
          </w:tcPr>
          <w:p>
            <w:pPr>
              <w:jc w:val="center"/>
            </w:pPr>
            <w:r>
              <w:rPr>
                <w:b/>
                <w:bCs/>
                <w:color w:val="107C10"/>
              </w:rPr>
              <w:t xml:space="preserve">$1,800</w:t>
            </w:r>
          </w:p>
        </w:tc>
      </w:tr>
      <w:tr>
        <w:tc>
          <w:tcPr>
            <w:tcW w:type="dxa" w:w="3120"/>
            <w:tcBorders>
              <w:top w:val="single" w:color="000000" w:sz="1"/>
              <w:left w:val="single" w:color="000000" w:sz="1"/>
              <w:bottom w:val="single" w:color="000000" w:sz="1"/>
              <w:right w:val="single" w:color="000000" w:sz="1"/>
            </w:tcBorders>
            <w:shd w:fill="FFF3CD" w:val="clear"/>
          </w:tcPr>
          <w:p>
            <w:r>
              <w:rPr>
                <w:b/>
                <w:bCs/>
                <w:sz w:val="24"/>
                <w:szCs w:val="24"/>
              </w:rPr>
              <w:t xml:space="preserve">YOUR SAVINGS</w:t>
            </w:r>
          </w:p>
        </w:tc>
        <w:tc>
          <w:tcPr>
            <w:tcW w:type="dxa" w:w="3120"/>
            <w:tcBorders>
              <w:top w:val="single" w:color="000000" w:sz="1"/>
              <w:left w:val="single" w:color="000000" w:sz="1"/>
              <w:bottom w:val="single" w:color="000000" w:sz="1"/>
              <w:right w:val="single" w:color="000000" w:sz="1"/>
            </w:tcBorders>
            <w:shd w:fill="FFF3CD" w:val="clear"/>
          </w:tcPr>
          <w:p>
            <w:pPr>
              <w:jc w:val="center"/>
            </w:pPr>
            <w:r>
              <w:rPr>
                <w:b/>
                <w:bCs/>
                <w:color w:val="107C10"/>
                <w:sz w:val="24"/>
                <w:szCs w:val="24"/>
              </w:rPr>
              <w:t xml:space="preserve">$17,400-29,400</w:t>
            </w:r>
          </w:p>
        </w:tc>
        <w:tc>
          <w:tcPr>
            <w:tcW w:type="dxa" w:w="3120"/>
            <w:tcBorders>
              <w:top w:val="single" w:color="000000" w:sz="1"/>
              <w:left w:val="single" w:color="000000" w:sz="1"/>
              <w:bottom w:val="single" w:color="000000" w:sz="1"/>
              <w:right w:val="single" w:color="000000" w:sz="1"/>
            </w:tcBorders>
            <w:shd w:fill="FFF3CD" w:val="clear"/>
          </w:tcPr>
          <w:p>
            <w:pPr>
              <w:jc w:val="center"/>
            </w:pPr>
            <w:r>
              <w:rPr>
                <w:b/>
                <w:bCs/>
                <w:color w:val="107C10"/>
                <w:sz w:val="24"/>
                <w:szCs w:val="24"/>
              </w:rPr>
              <w:t xml:space="preserve">$52,200-88,200</w:t>
            </w:r>
          </w:p>
        </w:tc>
      </w:tr>
    </w:tbl>
    <w:p>
      <w:r>
        <w:t xml:space="preserve"/>
      </w:r>
    </w:p>
    <w:p>
      <w:r>
        <w:br w:type="page"/>
      </w:r>
    </w:p>
    <w:p>
      <w:pPr>
        <w:pStyle w:val="Heading1"/>
      </w:pPr>
      <w:r>
        <w:t xml:space="preserve">WHY NGINX INSTEAD OF MOVEIT GATEWAY?</w:t>
      </w:r>
    </w:p>
    <w:p>
      <w:r>
        <w:t xml:space="preserve"/>
      </w:r>
    </w:p>
    <w:p>
      <w:pPr>
        <w:pStyle w:val="Heading2"/>
      </w:pPr>
      <w:r>
        <w:t xml:space="preserve">1. COST SAVINGS</w:t>
      </w:r>
    </w:p>
    <w:p>
      <w:pPr>
        <w:pStyle w:val="ListParagraph"/>
        <w:numPr>
          <w:ilvl w:val="0"/>
          <w:numId w:val="3"/>
        </w:numPr>
      </w:pPr>
      <w:r>
        <w:t xml:space="preserve">Save $17,400-$29,400 per year</w:t>
      </w:r>
    </w:p>
    <w:p>
      <w:pPr>
        <w:pStyle w:val="ListParagraph"/>
        <w:numPr>
          <w:ilvl w:val="0"/>
          <w:numId w:val="3"/>
        </w:numPr>
      </w:pPr>
      <w:r>
        <w:t xml:space="preserve">Save $52,200-$88,200 over 3 years</w:t>
      </w:r>
    </w:p>
    <w:p>
      <w:pPr>
        <w:pStyle w:val="ListParagraph"/>
        <w:numPr>
          <w:ilvl w:val="0"/>
          <w:numId w:val="3"/>
        </w:numPr>
      </w:pPr>
      <w:r>
        <w:t xml:space="preserve">No licensing fees ever</w:t>
      </w:r>
    </w:p>
    <w:p>
      <w:pPr>
        <w:pStyle w:val="ListParagraph"/>
        <w:numPr>
          <w:ilvl w:val="0"/>
          <w:numId w:val="3"/>
        </w:numPr>
      </w:pPr>
      <w:r>
        <w:t xml:space="preserve">No per-user costs</w:t>
      </w:r>
    </w:p>
    <w:p>
      <w:pPr>
        <w:pStyle w:val="ListParagraph"/>
        <w:numPr>
          <w:ilvl w:val="0"/>
          <w:numId w:val="3"/>
        </w:numPr>
      </w:pPr>
      <w:r>
        <w:t xml:space="preserve">No upgrade fees</w:t>
      </w:r>
    </w:p>
    <w:p>
      <w:r>
        <w:t xml:space="preserve"/>
      </w:r>
    </w:p>
    <w:p>
      <w:pPr>
        <w:pStyle w:val="Heading2"/>
      </w:pPr>
      <w:r>
        <w:t xml:space="preserve">2. SUPERIOR PERFORMANCE</w:t>
      </w:r>
    </w:p>
    <w:p>
      <w:pPr>
        <w:pStyle w:val="ListParagraph"/>
        <w:numPr>
          <w:ilvl w:val="0"/>
          <w:numId w:val="3"/>
        </w:numPr>
      </w:pPr>
      <w:r>
        <w:t xml:space="preserve">Used by 33% of all websites globally</w:t>
      </w:r>
    </w:p>
    <w:p>
      <w:pPr>
        <w:pStyle w:val="ListParagraph"/>
        <w:numPr>
          <w:ilvl w:val="0"/>
          <w:numId w:val="3"/>
        </w:numPr>
      </w:pPr>
      <w:r>
        <w:t xml:space="preserve">Handles 10,000+ concurrent connections</w:t>
      </w:r>
    </w:p>
    <w:p>
      <w:pPr>
        <w:pStyle w:val="ListParagraph"/>
        <w:numPr>
          <w:ilvl w:val="0"/>
          <w:numId w:val="3"/>
        </w:numPr>
      </w:pPr>
      <w:r>
        <w:t xml:space="preserve">Powers Netflix, NASA, Microsoft, Airbnb</w:t>
      </w:r>
    </w:p>
    <w:p>
      <w:pPr>
        <w:pStyle w:val="ListParagraph"/>
        <w:numPr>
          <w:ilvl w:val="0"/>
          <w:numId w:val="3"/>
        </w:numPr>
      </w:pPr>
      <w:r>
        <w:t xml:space="preserve">Proven at massive scale</w:t>
      </w:r>
    </w:p>
    <w:p>
      <w:r>
        <w:t xml:space="preserve"/>
      </w:r>
    </w:p>
    <w:p>
      <w:pPr>
        <w:pStyle w:val="Heading2"/>
      </w:pPr>
      <w:r>
        <w:t xml:space="preserve">3. SECURITY</w:t>
      </w:r>
    </w:p>
    <w:p>
      <w:pPr>
        <w:pStyle w:val="ListParagraph"/>
        <w:numPr>
          <w:ilvl w:val="0"/>
          <w:numId w:val="3"/>
        </w:numPr>
      </w:pPr>
      <w:r>
        <w:t xml:space="preserve">Same Zero Trust architecture</w:t>
      </w:r>
    </w:p>
    <w:p>
      <w:pPr>
        <w:pStyle w:val="ListParagraph"/>
        <w:numPr>
          <w:ilvl w:val="0"/>
          <w:numId w:val="3"/>
        </w:numPr>
      </w:pPr>
      <w:r>
        <w:t xml:space="preserve">Open source = no hidden backdoors</w:t>
      </w:r>
    </w:p>
    <w:p>
      <w:pPr>
        <w:pStyle w:val="ListParagraph"/>
        <w:numPr>
          <w:ilvl w:val="0"/>
          <w:numId w:val="3"/>
        </w:numPr>
      </w:pPr>
      <w:r>
        <w:t xml:space="preserve">Faster security patches</w:t>
      </w:r>
    </w:p>
    <w:p>
      <w:pPr>
        <w:pStyle w:val="ListParagraph"/>
        <w:numPr>
          <w:ilvl w:val="0"/>
          <w:numId w:val="3"/>
        </w:numPr>
      </w:pPr>
      <w:r>
        <w:rPr>
          <w:b/>
          <w:bCs/>
          <w:color w:val="E81123"/>
        </w:rPr>
        <w:t xml:space="preserve">NO recent security breaches (MOVEit had major 2023 breach)</w:t>
      </w:r>
    </w:p>
    <w:p>
      <w:r>
        <w:t xml:space="preserve"/>
      </w:r>
    </w:p>
    <w:p>
      <w:pPr>
        <w:pStyle w:val="Heading2"/>
      </w:pPr>
      <w:r>
        <w:t xml:space="preserve">4. FASTER DEPLOYMENT</w:t>
      </w:r>
    </w:p>
    <w:p>
      <w:pPr>
        <w:pStyle w:val="ListParagraph"/>
        <w:numPr>
          <w:ilvl w:val="0"/>
          <w:numId w:val="3"/>
        </w:numPr>
      </w:pPr>
      <w:r>
        <w:rPr>
          <w:b/>
          <w:bCs/>
        </w:rPr>
        <w:t xml:space="preserve">MOVEit Gateway: </w:t>
      </w:r>
      <w:r>
        <w:rPr>
          <w:color w:val="E81123"/>
        </w:rPr>
        <w:t xml:space="preserve">5-7 weeks</w:t>
      </w:r>
    </w:p>
    <w:p>
      <w:pPr>
        <w:pStyle w:val="ListParagraph"/>
        <w:numPr>
          <w:ilvl w:val="0"/>
          <w:numId w:val="3"/>
        </w:numPr>
      </w:pPr>
      <w:r>
        <w:rPr>
          <w:b/>
          <w:bCs/>
        </w:rPr>
        <w:t xml:space="preserve">NGINX Solution: </w:t>
      </w:r>
      <w:r>
        <w:rPr>
          <w:b/>
          <w:bCs/>
          <w:color w:val="107C10"/>
        </w:rPr>
        <w:t xml:space="preserve">1 day</w:t>
      </w:r>
    </w:p>
    <w:p>
      <w:pPr>
        <w:pStyle w:val="ListParagraph"/>
        <w:numPr>
          <w:ilvl w:val="0"/>
          <w:numId w:val="3"/>
        </w:numPr>
      </w:pPr>
      <w:r>
        <w:t xml:space="preserve">Automated deployment script ready</w:t>
      </w:r>
    </w:p>
    <w:p>
      <w:r>
        <w:t xml:space="preserve"/>
      </w:r>
    </w:p>
    <w:p>
      <w:r>
        <w:br w:type="page"/>
      </w:r>
    </w:p>
    <w:p>
      <w:pPr>
        <w:pStyle w:val="Heading1"/>
      </w:pPr>
      <w:r>
        <w:t xml:space="preserve">REQUIRED NETWORK PORTS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W w:type="dxa" w:w="1872"/>
            <w:tcBorders>
              <w:top w:val="single" w:color="000000" w:sz="1"/>
              <w:left w:val="single" w:color="000000" w:sz="1"/>
              <w:bottom w:val="single" w:color="000000" w:sz="1"/>
              <w:right w:val="single" w:color="000000" w:sz="1"/>
            </w:tcBorders>
            <w:shd w:fill="0078D4" w:val="clear"/>
          </w:tcPr>
          <w:p>
            <w:pPr>
              <w:jc w:val="center"/>
            </w:pPr>
            <w:r>
              <w:rPr>
                <w:b/>
                <w:bCs/>
                <w:color w:val="FFFFFF"/>
                <w:sz w:val="20"/>
                <w:szCs w:val="20"/>
              </w:rPr>
              <w:t xml:space="preserve">Direction</w:t>
            </w:r>
          </w:p>
        </w:tc>
        <w:tc>
          <w:tcPr>
            <w:tcW w:type="dxa" w:w="1872"/>
            <w:tcBorders>
              <w:top w:val="single" w:color="000000" w:sz="1"/>
              <w:left w:val="single" w:color="000000" w:sz="1"/>
              <w:bottom w:val="single" w:color="000000" w:sz="1"/>
              <w:right w:val="single" w:color="000000" w:sz="1"/>
            </w:tcBorders>
            <w:shd w:fill="0078D4" w:val="clear"/>
          </w:tcPr>
          <w:p>
            <w:pPr>
              <w:jc w:val="center"/>
            </w:pPr>
            <w:r>
              <w:rPr>
                <w:b/>
                <w:bCs/>
                <w:color w:val="FFFFFF"/>
                <w:sz w:val="20"/>
                <w:szCs w:val="20"/>
              </w:rPr>
              <w:t xml:space="preserve">Source</w:t>
            </w:r>
          </w:p>
        </w:tc>
        <w:tc>
          <w:tcPr>
            <w:tcW w:type="dxa" w:w="1872"/>
            <w:tcBorders>
              <w:top w:val="single" w:color="000000" w:sz="1"/>
              <w:left w:val="single" w:color="000000" w:sz="1"/>
              <w:bottom w:val="single" w:color="000000" w:sz="1"/>
              <w:right w:val="single" w:color="000000" w:sz="1"/>
            </w:tcBorders>
            <w:shd w:fill="0078D4" w:val="clear"/>
          </w:tcPr>
          <w:p>
            <w:pPr>
              <w:jc w:val="center"/>
            </w:pPr>
            <w:r>
              <w:rPr>
                <w:b/>
                <w:bCs/>
                <w:color w:val="FFFFFF"/>
                <w:sz w:val="20"/>
                <w:szCs w:val="20"/>
              </w:rPr>
              <w:t xml:space="preserve">Destination</w:t>
            </w:r>
          </w:p>
        </w:tc>
        <w:tc>
          <w:tcPr>
            <w:tcW w:type="dxa" w:w="1872"/>
            <w:tcBorders>
              <w:top w:val="single" w:color="000000" w:sz="1"/>
              <w:left w:val="single" w:color="000000" w:sz="1"/>
              <w:bottom w:val="single" w:color="000000" w:sz="1"/>
              <w:right w:val="single" w:color="000000" w:sz="1"/>
            </w:tcBorders>
            <w:shd w:fill="0078D4" w:val="clear"/>
          </w:tcPr>
          <w:p>
            <w:pPr>
              <w:jc w:val="center"/>
            </w:pPr>
            <w:r>
              <w:rPr>
                <w:b/>
                <w:bCs/>
                <w:color w:val="FFFFFF"/>
                <w:sz w:val="20"/>
                <w:szCs w:val="20"/>
              </w:rPr>
              <w:t xml:space="preserve">Port</w:t>
            </w:r>
          </w:p>
        </w:tc>
        <w:tc>
          <w:tcPr>
            <w:tcW w:type="dxa" w:w="1872"/>
            <w:tcBorders>
              <w:top w:val="single" w:color="000000" w:sz="1"/>
              <w:left w:val="single" w:color="000000" w:sz="1"/>
              <w:bottom w:val="single" w:color="000000" w:sz="1"/>
              <w:right w:val="single" w:color="000000" w:sz="1"/>
            </w:tcBorders>
            <w:shd w:fill="0078D4" w:val="clear"/>
          </w:tcPr>
          <w:p>
            <w:pPr>
              <w:jc w:val="center"/>
            </w:pPr>
            <w:r>
              <w:rPr>
                <w:b/>
                <w:bCs/>
                <w:color w:val="FFFFFF"/>
                <w:sz w:val="20"/>
                <w:szCs w:val="20"/>
              </w:rPr>
              <w:t xml:space="preserve">Purpose</w:t>
            </w:r>
          </w:p>
        </w:tc>
      </w:tr>
      <w:tr>
        <w:tc>
          <w:tcPr>
            <w:tcW w:type="dxa" w:w="1872"/>
            <w:tcBorders>
              <w:top w:val="single" w:color="000000" w:sz="1"/>
              <w:left w:val="single" w:color="000000" w:sz="1"/>
              <w:bottom w:val="single" w:color="000000" w:sz="1"/>
              <w:right w:val="single" w:color="000000" w:sz="1"/>
            </w:tcBorders>
          </w:tcPr>
          <w:p>
            <w:r>
              <w:t xml:space="preserve">Inbound</w:t>
            </w:r>
          </w:p>
        </w:tc>
        <w:tc>
          <w:tcPr>
            <w:tcW w:type="dxa" w:w="1872"/>
            <w:tcBorders>
              <w:top w:val="single" w:color="000000" w:sz="1"/>
              <w:left w:val="single" w:color="000000" w:sz="1"/>
              <w:bottom w:val="single" w:color="000000" w:sz="1"/>
              <w:right w:val="single" w:color="000000" w:sz="1"/>
            </w:tcBorders>
          </w:tcPr>
          <w:p>
            <w:r>
              <w:t xml:space="preserve">Internet</w:t>
            </w:r>
          </w:p>
        </w:tc>
        <w:tc>
          <w:tcPr>
            <w:tcW w:type="dxa" w:w="1872"/>
            <w:tcBorders>
              <w:top w:val="single" w:color="000000" w:sz="1"/>
              <w:left w:val="single" w:color="000000" w:sz="1"/>
              <w:bottom w:val="single" w:color="000000" w:sz="1"/>
              <w:right w:val="single" w:color="000000" w:sz="1"/>
            </w:tcBorders>
          </w:tcPr>
          <w:p>
            <w:r>
              <w:t xml:space="preserve">NGINX</w:t>
            </w:r>
          </w:p>
        </w:tc>
        <w:tc>
          <w:tcPr>
            <w:tcW w:type="dxa" w:w="1872"/>
            <w:tcBorders>
              <w:top w:val="single" w:color="000000" w:sz="1"/>
              <w:left w:val="single" w:color="000000" w:sz="1"/>
              <w:bottom w:val="single" w:color="000000" w:sz="1"/>
              <w:right w:val="single" w:color="000000" w:sz="1"/>
            </w:tcBorders>
          </w:tcPr>
          <w:p>
            <w:pPr>
              <w:jc w:val="center"/>
            </w:pPr>
            <w:r>
              <w:t xml:space="preserve">22</w:t>
            </w:r>
          </w:p>
        </w:tc>
        <w:tc>
          <w:tcPr>
            <w:tcW w:type="dxa" w:w="1872"/>
            <w:tcBorders>
              <w:top w:val="single" w:color="000000" w:sz="1"/>
              <w:left w:val="single" w:color="000000" w:sz="1"/>
              <w:bottom w:val="single" w:color="000000" w:sz="1"/>
              <w:right w:val="single" w:color="000000" w:sz="1"/>
            </w:tcBorders>
          </w:tcPr>
          <w:p>
            <w:r>
              <w:t xml:space="preserve">SFTP/SSH</w:t>
            </w:r>
          </w:p>
        </w:tc>
      </w:tr>
      <w:tr>
        <w:tc>
          <w:tcPr>
            <w:tcW w:type="dxa" w:w="1872"/>
            <w:tcBorders>
              <w:top w:val="single" w:color="000000" w:sz="1"/>
              <w:left w:val="single" w:color="000000" w:sz="1"/>
              <w:bottom w:val="single" w:color="000000" w:sz="1"/>
              <w:right w:val="single" w:color="000000" w:sz="1"/>
            </w:tcBorders>
          </w:tcPr>
          <w:p>
            <w:r>
              <w:t xml:space="preserve">Inbound</w:t>
            </w:r>
          </w:p>
        </w:tc>
        <w:tc>
          <w:tcPr>
            <w:tcW w:type="dxa" w:w="1872"/>
            <w:tcBorders>
              <w:top w:val="single" w:color="000000" w:sz="1"/>
              <w:left w:val="single" w:color="000000" w:sz="1"/>
              <w:bottom w:val="single" w:color="000000" w:sz="1"/>
              <w:right w:val="single" w:color="000000" w:sz="1"/>
            </w:tcBorders>
          </w:tcPr>
          <w:p>
            <w:r>
              <w:t xml:space="preserve">Internet</w:t>
            </w:r>
          </w:p>
        </w:tc>
        <w:tc>
          <w:tcPr>
            <w:tcW w:type="dxa" w:w="1872"/>
            <w:tcBorders>
              <w:top w:val="single" w:color="000000" w:sz="1"/>
              <w:left w:val="single" w:color="000000" w:sz="1"/>
              <w:bottom w:val="single" w:color="000000" w:sz="1"/>
              <w:right w:val="single" w:color="000000" w:sz="1"/>
            </w:tcBorders>
          </w:tcPr>
          <w:p>
            <w:r>
              <w:t xml:space="preserve">NGINX</w:t>
            </w:r>
          </w:p>
        </w:tc>
        <w:tc>
          <w:tcPr>
            <w:tcW w:type="dxa" w:w="1872"/>
            <w:tcBorders>
              <w:top w:val="single" w:color="000000" w:sz="1"/>
              <w:left w:val="single" w:color="000000" w:sz="1"/>
              <w:bottom w:val="single" w:color="000000" w:sz="1"/>
              <w:right w:val="single" w:color="000000" w:sz="1"/>
            </w:tcBorders>
          </w:tcPr>
          <w:p>
            <w:pPr>
              <w:jc w:val="center"/>
            </w:pPr>
            <w:r>
              <w:t xml:space="preserve">443</w:t>
            </w:r>
          </w:p>
        </w:tc>
        <w:tc>
          <w:tcPr>
            <w:tcW w:type="dxa" w:w="1872"/>
            <w:tcBorders>
              <w:top w:val="single" w:color="000000" w:sz="1"/>
              <w:left w:val="single" w:color="000000" w:sz="1"/>
              <w:bottom w:val="single" w:color="000000" w:sz="1"/>
              <w:right w:val="single" w:color="000000" w:sz="1"/>
            </w:tcBorders>
          </w:tcPr>
          <w:p>
            <w:r>
              <w:t xml:space="preserve">HTTPS</w:t>
            </w:r>
          </w:p>
        </w:tc>
      </w:tr>
      <w:tr>
        <w:tc>
          <w:tcPr>
            <w:tcW w:type="dxa" w:w="1872"/>
            <w:tcBorders>
              <w:top w:val="single" w:color="000000" w:sz="1"/>
              <w:left w:val="single" w:color="000000" w:sz="1"/>
              <w:bottom w:val="single" w:color="000000" w:sz="1"/>
              <w:right w:val="single" w:color="000000" w:sz="1"/>
            </w:tcBorders>
          </w:tcPr>
          <w:p>
            <w:r>
              <w:t xml:space="preserve">Outbound</w:t>
            </w:r>
          </w:p>
        </w:tc>
        <w:tc>
          <w:tcPr>
            <w:tcW w:type="dxa" w:w="1872"/>
            <w:tcBorders>
              <w:top w:val="single" w:color="000000" w:sz="1"/>
              <w:left w:val="single" w:color="000000" w:sz="1"/>
              <w:bottom w:val="single" w:color="000000" w:sz="1"/>
              <w:right w:val="single" w:color="000000" w:sz="1"/>
            </w:tcBorders>
          </w:tcPr>
          <w:p>
            <w:r>
              <w:t xml:space="preserve">NGINX</w:t>
            </w:r>
          </w:p>
        </w:tc>
        <w:tc>
          <w:tcPr>
            <w:tcW w:type="dxa" w:w="1872"/>
            <w:tcBorders>
              <w:top w:val="single" w:color="000000" w:sz="1"/>
              <w:left w:val="single" w:color="000000" w:sz="1"/>
              <w:bottom w:val="single" w:color="000000" w:sz="1"/>
              <w:right w:val="single" w:color="000000" w:sz="1"/>
            </w:tcBorders>
          </w:tcPr>
          <w:p>
            <w:r>
              <w:rPr>
                <w:color w:val="E81123"/>
              </w:rPr>
              <w:t xml:space="preserve">20.66.24.164</w:t>
            </w:r>
          </w:p>
        </w:tc>
        <w:tc>
          <w:tcPr>
            <w:tcW w:type="dxa" w:w="1872"/>
            <w:tcBorders>
              <w:top w:val="single" w:color="000000" w:sz="1"/>
              <w:left w:val="single" w:color="000000" w:sz="1"/>
              <w:bottom w:val="single" w:color="000000" w:sz="1"/>
              <w:right w:val="single" w:color="000000" w:sz="1"/>
            </w:tcBorders>
          </w:tcPr>
          <w:p>
            <w:pPr>
              <w:jc w:val="center"/>
            </w:pPr>
            <w:r>
              <w:t xml:space="preserve">22</w:t>
            </w:r>
          </w:p>
        </w:tc>
        <w:tc>
          <w:tcPr>
            <w:tcW w:type="dxa" w:w="1872"/>
            <w:tcBorders>
              <w:top w:val="single" w:color="000000" w:sz="1"/>
              <w:left w:val="single" w:color="000000" w:sz="1"/>
              <w:bottom w:val="single" w:color="000000" w:sz="1"/>
              <w:right w:val="single" w:color="000000" w:sz="1"/>
            </w:tcBorders>
          </w:tcPr>
          <w:p>
            <w:r>
              <w:t xml:space="preserve">SSH proxy</w:t>
            </w:r>
          </w:p>
        </w:tc>
      </w:tr>
      <w:tr>
        <w:tc>
          <w:tcPr>
            <w:tcW w:type="dxa" w:w="1872"/>
            <w:tcBorders>
              <w:top w:val="single" w:color="000000" w:sz="1"/>
              <w:left w:val="single" w:color="000000" w:sz="1"/>
              <w:bottom w:val="single" w:color="000000" w:sz="1"/>
              <w:right w:val="single" w:color="000000" w:sz="1"/>
            </w:tcBorders>
          </w:tcPr>
          <w:p>
            <w:r>
              <w:t xml:space="preserve">Outbound</w:t>
            </w:r>
          </w:p>
        </w:tc>
        <w:tc>
          <w:tcPr>
            <w:tcW w:type="dxa" w:w="1872"/>
            <w:tcBorders>
              <w:top w:val="single" w:color="000000" w:sz="1"/>
              <w:left w:val="single" w:color="000000" w:sz="1"/>
              <w:bottom w:val="single" w:color="000000" w:sz="1"/>
              <w:right w:val="single" w:color="000000" w:sz="1"/>
            </w:tcBorders>
          </w:tcPr>
          <w:p>
            <w:r>
              <w:t xml:space="preserve">NGINX</w:t>
            </w:r>
          </w:p>
        </w:tc>
        <w:tc>
          <w:tcPr>
            <w:tcW w:type="dxa" w:w="1872"/>
            <w:tcBorders>
              <w:top w:val="single" w:color="000000" w:sz="1"/>
              <w:left w:val="single" w:color="000000" w:sz="1"/>
              <w:bottom w:val="single" w:color="000000" w:sz="1"/>
              <w:right w:val="single" w:color="000000" w:sz="1"/>
            </w:tcBorders>
          </w:tcPr>
          <w:p>
            <w:r>
              <w:rPr>
                <w:color w:val="E81123"/>
              </w:rPr>
              <w:t xml:space="preserve">20.66.24.164</w:t>
            </w:r>
          </w:p>
        </w:tc>
        <w:tc>
          <w:tcPr>
            <w:tcW w:type="dxa" w:w="1872"/>
            <w:tcBorders>
              <w:top w:val="single" w:color="000000" w:sz="1"/>
              <w:left w:val="single" w:color="000000" w:sz="1"/>
              <w:bottom w:val="single" w:color="000000" w:sz="1"/>
              <w:right w:val="single" w:color="000000" w:sz="1"/>
            </w:tcBorders>
          </w:tcPr>
          <w:p>
            <w:pPr>
              <w:jc w:val="center"/>
            </w:pPr>
            <w:r>
              <w:t xml:space="preserve">443</w:t>
            </w:r>
          </w:p>
        </w:tc>
        <w:tc>
          <w:tcPr>
            <w:tcW w:type="dxa" w:w="1872"/>
            <w:tcBorders>
              <w:top w:val="single" w:color="000000" w:sz="1"/>
              <w:left w:val="single" w:color="000000" w:sz="1"/>
              <w:bottom w:val="single" w:color="000000" w:sz="1"/>
              <w:right w:val="single" w:color="000000" w:sz="1"/>
            </w:tcBorders>
          </w:tcPr>
          <w:p>
            <w:r>
              <w:t xml:space="preserve">HTTPS proxy</w:t>
            </w:r>
          </w:p>
        </w:tc>
      </w:tr>
    </w:tbl>
    <w:p>
      <w:r>
        <w:t xml:space="preserve"/>
      </w:r>
    </w:p>
    <w:p>
      <w:r>
        <w:br w:type="page"/>
      </w:r>
    </w:p>
    <w:p>
      <w:pPr>
        <w:pStyle w:val="Heading1"/>
      </w:pPr>
      <w:r>
        <w:t xml:space="preserve">RECOMMENDATION</w:t>
      </w:r>
    </w:p>
    <w:p>
      <w:r>
        <w:t xml:space="preserve"/>
      </w:r>
    </w:p>
    <w:p>
      <w:pPr>
        <w:jc w:val="center"/>
      </w:pPr>
      <w:r>
        <w:rPr>
          <w:b/>
          <w:bCs/>
          <w:sz w:val="32"/>
          <w:szCs w:val="32"/>
        </w:rPr>
        <w:t xml:space="preserve">STRONGLY RECOMMEND:</w:t>
      </w:r>
    </w:p>
    <w:p>
      <w:pPr>
        <w:jc w:val="center"/>
      </w:pPr>
      <w:r>
        <w:rPr>
          <w:b/>
          <w:bCs/>
          <w:color w:val="107C10"/>
          <w:sz w:val="36"/>
          <w:szCs w:val="36"/>
        </w:rPr>
        <w:t xml:space="preserve">Deploy FREE NGINX DMZ Solution</w:t>
      </w:r>
    </w:p>
    <w:p>
      <w:r>
        <w:t xml:space="preserve"/>
      </w:r>
    </w:p>
    <w:p>
      <w:r>
        <w:t xml:space="preserve"/>
      </w:r>
    </w:p>
    <w:p>
      <w:r>
        <w:rPr>
          <w:b/>
          <w:bCs/>
          <w:sz w:val="26"/>
          <w:szCs w:val="26"/>
        </w:rPr>
        <w:t xml:space="preserve">Primary Reasons:</w:t>
      </w:r>
    </w:p>
    <w:p>
      <w:pPr>
        <w:pStyle w:val="ListParagraph"/>
        <w:numPr>
          <w:ilvl w:val="0"/>
          <w:numId w:val="2"/>
        </w:numPr>
      </w:pPr>
      <w:r>
        <w:t xml:space="preserve">Save $52,200-$88,200 over 3 years</w:t>
      </w:r>
    </w:p>
    <w:p>
      <w:pPr>
        <w:pStyle w:val="ListParagraph"/>
        <w:numPr>
          <w:ilvl w:val="0"/>
          <w:numId w:val="2"/>
        </w:numPr>
      </w:pPr>
      <w:r>
        <w:t xml:space="preserve">Identical functionality to MOVEit Gateway</w:t>
      </w:r>
    </w:p>
    <w:p>
      <w:pPr>
        <w:pStyle w:val="ListParagraph"/>
        <w:numPr>
          <w:ilvl w:val="0"/>
          <w:numId w:val="2"/>
        </w:numPr>
      </w:pPr>
      <w:r>
        <w:t xml:space="preserve">Superior performance (10,000+ connections)</w:t>
      </w:r>
    </w:p>
    <w:p>
      <w:pPr>
        <w:pStyle w:val="ListParagraph"/>
        <w:numPr>
          <w:ilvl w:val="0"/>
          <w:numId w:val="2"/>
        </w:numPr>
      </w:pPr>
      <w:r>
        <w:t xml:space="preserve">Deploy in 1 day instead of 7 weeks</w:t>
      </w:r>
    </w:p>
    <w:p>
      <w:pPr>
        <w:pStyle w:val="ListParagraph"/>
        <w:numPr>
          <w:ilvl w:val="0"/>
          <w:numId w:val="2"/>
        </w:numPr>
      </w:pPr>
      <w:r>
        <w:t xml:space="preserve">No vendor lock-in or contracts</w:t>
      </w:r>
    </w:p>
    <w:p>
      <w:pPr>
        <w:pStyle w:val="ListParagraph"/>
        <w:numPr>
          <w:ilvl w:val="0"/>
          <w:numId w:val="2"/>
        </w:numPr>
      </w:pPr>
      <w:r>
        <w:t xml:space="preserve">Battle-tested by world's largest companies</w:t>
      </w:r>
    </w:p>
    <w:p>
      <w:pPr>
        <w:pStyle w:val="ListParagraph"/>
        <w:numPr>
          <w:ilvl w:val="0"/>
          <w:numId w:val="2"/>
        </w:numPr>
      </w:pPr>
      <w:r>
        <w:t xml:space="preserve">Can implement immediately with approval</w:t>
      </w:r>
    </w:p>
    <w:p>
      <w:r>
        <w:t xml:space="preserve"/>
      </w:r>
    </w:p>
    <w:p>
      <w:r>
        <w:t xml:space="preserve"/>
      </w:r>
    </w:p>
    <w:p>
      <w:pPr>
        <w:pStyle w:val="Heading1"/>
      </w:pPr>
      <w:r>
        <w:t xml:space="preserve">APPROVAL REQUIRED</w:t>
      </w:r>
    </w:p>
    <w:p>
      <w:r>
        <w:t xml:space="preserve"/>
      </w:r>
    </w:p>
    <w:p>
      <w:r>
        <w:rPr>
          <w:b/>
          <w:bCs/>
          <w:color w:val="107C10"/>
          <w:sz w:val="26"/>
          <w:szCs w:val="26"/>
        </w:rPr>
        <w:t xml:space="preserve">☐ APPROVE: Deploy FREE NGINX DMZ Solution (RECOMMENDED)</w:t>
      </w:r>
    </w:p>
    <w:p>
      <w:pPr>
        <w:pStyle w:val="ListParagraph"/>
        <w:numPr>
          <w:ilvl w:val="0"/>
          <w:numId w:val="3"/>
        </w:numPr>
      </w:pPr>
      <w:r>
        <w:t xml:space="preserve">Immediate cost savings</w:t>
      </w:r>
    </w:p>
    <w:p>
      <w:pPr>
        <w:pStyle w:val="ListParagraph"/>
        <w:numPr>
          <w:ilvl w:val="0"/>
          <w:numId w:val="3"/>
        </w:numPr>
      </w:pPr>
      <w:r>
        <w:t xml:space="preserve">Same functionality as MOVEit Gateway</w:t>
      </w:r>
    </w:p>
    <w:p>
      <w:pPr>
        <w:pStyle w:val="ListParagraph"/>
        <w:numPr>
          <w:ilvl w:val="0"/>
          <w:numId w:val="3"/>
        </w:numPr>
      </w:pPr>
      <w:r>
        <w:t xml:space="preserve">Deploy this week</w:t>
      </w:r>
    </w:p>
    <w:p>
      <w:r>
        <w:t xml:space="preserve"/>
      </w:r>
    </w:p>
    <w:p>
      <w:r>
        <w:rPr>
          <w:b/>
          <w:bCs/>
          <w:color w:val="E81123"/>
          <w:sz w:val="26"/>
          <w:szCs w:val="26"/>
        </w:rPr>
        <w:t xml:space="preserve">☐ REJECT: Purchase MOVEit Gateway</w:t>
      </w:r>
    </w:p>
    <w:p>
      <w:pPr>
        <w:pStyle w:val="ListParagraph"/>
        <w:numPr>
          <w:ilvl w:val="0"/>
          <w:numId w:val="3"/>
        </w:numPr>
      </w:pPr>
      <w:r>
        <w:rPr>
          <w:color w:val="E81123"/>
        </w:rPr>
        <w:t xml:space="preserve">$17,400-$29,400 annual cost</w:t>
      </w:r>
    </w:p>
    <w:p>
      <w:pPr>
        <w:pStyle w:val="ListParagraph"/>
        <w:numPr>
          <w:ilvl w:val="0"/>
          <w:numId w:val="3"/>
        </w:numPr>
      </w:pPr>
      <w:r>
        <w:rPr>
          <w:color w:val="E81123"/>
        </w:rPr>
        <w:t xml:space="preserve">5-7 week deployment</w:t>
      </w:r>
    </w:p>
    <w:p>
      <w:pPr>
        <w:pStyle w:val="ListParagraph"/>
        <w:numPr>
          <w:ilvl w:val="0"/>
          <w:numId w:val="3"/>
        </w:numPr>
      </w:pPr>
      <w:r>
        <w:rPr>
          <w:color w:val="E81123"/>
        </w:rPr>
        <w:t xml:space="preserve">Vendor lock-in</w:t>
      </w:r>
    </w:p>
    <w:p>
      <w:r>
        <w:t xml:space="preserve"/>
      </w:r>
    </w:p>
    <w:p>
      <w:r>
        <w:t xml:space="preserve"/>
      </w:r>
    </w:p>
    <w:p>
      <w:r>
        <w:t xml:space="preserve"/>
      </w:r>
    </w:p>
    <w:p>
      <w:pPr>
        <w:jc w:val="center"/>
      </w:pPr>
      <w:r>
        <w:rPr>
          <w:i/>
          <w:iCs/>
          <w:sz w:val="20"/>
          <w:szCs w:val="20"/>
        </w:rPr>
        <w:t xml:space="preserve">Prepared by: Infrastructure &amp; Security Team</w:t>
      </w:r>
    </w:p>
    <w:p>
      <w:pPr>
        <w:jc w:val="center"/>
      </w:pPr>
      <w:r>
        <w:rPr>
          <w:i/>
          <w:iCs/>
          <w:sz w:val="20"/>
          <w:szCs w:val="20"/>
        </w:rPr>
        <w:t xml:space="preserve">Date: November 14, 2025</w:t>
      </w:r>
    </w:p>
    <w:p>
      <w:pPr>
        <w:jc w:val="center"/>
      </w:pPr>
      <w:r>
        <w:rPr>
          <w:i/>
          <w:iCs/>
          <w:color w:val="E81123"/>
          <w:sz w:val="20"/>
          <w:szCs w:val="20"/>
        </w:rPr>
        <w:t xml:space="preserve">Transfer Server: 20.66.24.164</w:t>
      </w:r>
    </w:p>
    <w:p>
      <w:pPr>
        <w:jc w:val="center"/>
      </w:pPr>
      <w:r>
        <w:rPr>
          <w:b/>
          <w:bCs/>
          <w:i/>
          <w:iCs/>
          <w:color w:val="0078D4"/>
          <w:sz w:val="22"/>
          <w:szCs w:val="22"/>
        </w:rPr>
        <w:t xml:space="preserve">Status: AWAITING EXECUTIVE APPROVAL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78D4"/>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0078D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07C10"/>
      <w:sz w:val="30"/>
      <w:szCs w:val="30"/>
    </w:rPr>
  </w:style>
  <w:style w:type="paragraph" w:styleId="Heading3">
    <w:name w:val="Heading 3"/>
    <w:basedOn w:val="Normal"/>
    <w:next w:val="Normal"/>
    <w:qFormat/>
    <w:pPr>
      <w:spacing w:before="180" w:after="120"/>
      <w:outlineLvl w:val="2"/>
    </w:pPr>
    <w:rPr>
      <w:rFonts w:ascii="Arial" w:cs="Arial" w:eastAsia="Arial" w:hAnsi="Arial"/>
      <w:b/>
      <w:bCs/>
      <w:color w:val="666666"/>
      <w:sz w:val="26"/>
      <w:szCs w:val="26"/>
    </w:rPr>
  </w:style>
  <w:style w:type="paragraph" w:styleId="Subtitle">
    <w:name w:val="Subtitle"/>
    <w:basedOn w:val="Normal"/>
    <w:pPr>
      <w:spacing w:after="12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b4e2d9d74e1756e0f1e135be8658503616cb3dd.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2025-11-14T22:23:51.212Z</dcterms:created>
  <dcterms:modified xsi:type="dcterms:W3CDTF">2025-11-14T22:23:51.213Z</dcterms:modified>
</cp:coreProperties>
</file>

<file path=docProps/custom.xml><?xml version="1.0" encoding="utf-8"?>
<Properties xmlns="http://schemas.openxmlformats.org/officeDocument/2006/custom-properties" xmlns:vt="http://schemas.openxmlformats.org/officeDocument/2006/docPropsVTypes"/>
</file>