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Virtual Desktop (AVD) – Architecture Guide</w:t>
      </w:r>
    </w:p>
    <w:p>
      <w:pPr>
        <w:jc w:val="center"/>
      </w:pPr>
      <w:r>
        <w:rPr>
          <w:i/>
          <w:sz w:val="24"/>
        </w:rPr>
        <w:t>Clean, secure, and repeatable design for production</w:t>
      </w:r>
    </w:p>
    <w:p>
      <w:pPr>
        <w:jc w:val="center"/>
      </w:pPr>
      <w:r>
        <w:rPr>
          <w:sz w:val="20"/>
        </w:rPr>
        <w:t>Date: November 05, 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D-Architecture-Diagram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we are building</w:t>
      </w:r>
    </w:p>
    <w:p>
      <w:pPr>
        <w:pStyle w:val="ListBullet"/>
      </w:pPr>
      <w:r>
        <w:t>Identity is Entra ID with MFA. Access is controlled by Conditional Access and RBAC.</w:t>
      </w:r>
    </w:p>
    <w:p>
      <w:pPr>
        <w:pStyle w:val="ListBullet"/>
      </w:pPr>
      <w:r>
        <w:t>AVD objects: one Workspace, a pooled Host Pool, and a Desktop App Group linked to the workspace.</w:t>
      </w:r>
    </w:p>
    <w:p>
      <w:pPr>
        <w:pStyle w:val="ListBullet"/>
      </w:pPr>
      <w:r>
        <w:t>Session hosts are Windows 11. We use Trusted Launch, no public IPs, and the AVD agent/bootloader to join.</w:t>
      </w:r>
    </w:p>
    <w:p>
      <w:pPr>
        <w:pStyle w:val="ListBullet"/>
      </w:pPr>
      <w:r>
        <w:t>Profiles go to Azure Files with FSLogix. We enforce TLS 1.2 and use storage keys at build time.</w:t>
      </w:r>
    </w:p>
    <w:p>
      <w:pPr>
        <w:pStyle w:val="ListBullet"/>
      </w:pPr>
      <w:r>
        <w:t>Networking is a dedicated VNet and subnet with an NSG: block Internet RDP, allow VNet, and optionally allow a specific on‑prem CIDR.</w:t>
      </w:r>
    </w:p>
    <w:p>
      <w:pPr>
        <w:pStyle w:val="ListBullet"/>
      </w:pPr>
      <w:r>
        <w:t>Optional: Azure Bastion for just‑in‑time admin (HTTPS only).</w:t>
      </w:r>
    </w:p>
    <w:p>
      <w:pPr>
        <w:pStyle w:val="Heading2"/>
      </w:pPr>
      <w:r>
        <w:t>Security stance</w:t>
      </w:r>
    </w:p>
    <w:p>
      <w:pPr>
        <w:pStyle w:val="ListBullet"/>
      </w:pPr>
      <w:r>
        <w:t>Zero Trust posture: no inbound RDP from the Internet, brokered access only.</w:t>
      </w:r>
    </w:p>
    <w:p>
      <w:pPr>
        <w:pStyle w:val="ListBullet"/>
      </w:pPr>
      <w:r>
        <w:t>Strong identity: MFA + Conditional Access + least‑privilege RBAC.</w:t>
      </w:r>
    </w:p>
    <w:p>
      <w:pPr>
        <w:pStyle w:val="ListBullet"/>
      </w:pPr>
      <w:r>
        <w:t>Trusted Launch (Secure Boot + vTPM) on the VMs.</w:t>
      </w:r>
    </w:p>
    <w:p>
      <w:pPr>
        <w:pStyle w:val="ListBullet"/>
      </w:pPr>
      <w:r>
        <w:t>All profile traffic is encrypted; storage access is bootstrapped securely.</w:t>
      </w:r>
    </w:p>
    <w:p>
      <w:pPr>
        <w:pStyle w:val="ListBullet"/>
      </w:pPr>
      <w:r>
        <w:t>Everything is observable: integrate with Azure Monitor for logs and alerts.</w:t>
      </w:r>
    </w:p>
    <w:p>
      <w:pPr>
        <w:pStyle w:val="Heading2"/>
      </w:pPr>
      <w:r>
        <w:t>How the run works</w:t>
      </w:r>
    </w:p>
    <w:p>
      <w:pPr>
        <w:pStyle w:val="ListNumber"/>
      </w:pPr>
      <w:r>
        <w:t>Load Az modules and connect.</w:t>
      </w:r>
    </w:p>
    <w:p>
      <w:pPr>
        <w:pStyle w:val="ListNumber"/>
      </w:pPr>
      <w:r>
        <w:t>Pick subscriptions, host count (1–10), VM size.</w:t>
      </w:r>
    </w:p>
    <w:p>
      <w:pPr>
        <w:pStyle w:val="ListNumber"/>
      </w:pPr>
      <w:r>
        <w:t>Resolve region + image and check quota for the VM family.</w:t>
      </w:r>
    </w:p>
    <w:p>
      <w:pPr>
        <w:pStyle w:val="ListNumber"/>
      </w:pPr>
      <w:r>
        <w:t>Create or reuse RG, VNet/Subnet, and NSG rules.</w:t>
      </w:r>
    </w:p>
    <w:p>
      <w:pPr>
        <w:pStyle w:val="ListNumber"/>
      </w:pPr>
      <w:r>
        <w:t>Provision Azure Files share for FSLogix (profiles).</w:t>
      </w:r>
    </w:p>
    <w:p>
      <w:pPr>
        <w:pStyle w:val="ListNumber"/>
      </w:pPr>
      <w:r>
        <w:t>Create Host Pool, Desktop App Group, and Workspace; link DAG to the workspace.</w:t>
      </w:r>
    </w:p>
    <w:p>
      <w:pPr>
        <w:pStyle w:val="ListNumber"/>
      </w:pPr>
      <w:r>
        <w:t>Generate the registration token and deploy session hosts (no public IP, Trusted Launch).</w:t>
      </w:r>
    </w:p>
    <w:p>
      <w:pPr>
        <w:pStyle w:val="ListNumber"/>
      </w:pPr>
      <w:r>
        <w:t>Install AVD agent/bootloader, configure FSLogix, and optionally assign RBAC for users.</w:t>
      </w:r>
    </w:p>
    <w:p>
      <w:pPr>
        <w:pStyle w:val="Heading2"/>
      </w:pPr>
      <w:r>
        <w:t>Network 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Direction</w:t>
            </w:r>
          </w:p>
        </w:tc>
        <w:tc>
          <w:tcPr>
            <w:tcW w:type="dxa" w:w="2448"/>
          </w:tcPr>
          <w:p>
            <w:r>
              <w:t>Source</w:t>
            </w:r>
          </w:p>
        </w:tc>
        <w:tc>
          <w:tcPr>
            <w:tcW w:type="dxa" w:w="2448"/>
          </w:tcPr>
          <w:p>
            <w:r>
              <w:t>Destination</w:t>
            </w:r>
          </w:p>
        </w:tc>
        <w:tc>
          <w:tcPr>
            <w:tcW w:type="dxa" w:w="2448"/>
          </w:tcPr>
          <w:p>
            <w:r>
              <w:t>Port</w:t>
            </w:r>
          </w:p>
        </w:tc>
        <w:tc>
          <w:tcPr>
            <w:tcW w:type="dxa" w:w="2448"/>
          </w:tcPr>
          <w:p>
            <w:r>
              <w:t>Why</w:t>
            </w:r>
          </w:p>
        </w:tc>
      </w:tr>
      <w:tr>
        <w:tc>
          <w:tcPr>
            <w:tcW w:type="dxa" w:w="2448"/>
          </w:tcPr>
          <w:p>
            <w:r>
              <w:t>Inbound</w:t>
            </w:r>
          </w:p>
        </w:tc>
        <w:tc>
          <w:tcPr>
            <w:tcW w:type="dxa" w:w="2448"/>
          </w:tcPr>
          <w:p>
            <w:r>
              <w:t>Users</w:t>
            </w:r>
          </w:p>
        </w:tc>
        <w:tc>
          <w:tcPr>
            <w:tcW w:type="dxa" w:w="2448"/>
          </w:tcPr>
          <w:p>
            <w:r>
              <w:t>AVD Broker</w:t>
            </w:r>
          </w:p>
        </w:tc>
        <w:tc>
          <w:tcPr>
            <w:tcW w:type="dxa" w:w="2448"/>
          </w:tcPr>
          <w:p>
            <w:r>
              <w:t>443</w:t>
            </w:r>
          </w:p>
        </w:tc>
        <w:tc>
          <w:tcPr>
            <w:tcW w:type="dxa" w:w="2448"/>
          </w:tcPr>
          <w:p>
            <w:r>
              <w:t>User connections over HTTPS</w:t>
            </w:r>
          </w:p>
        </w:tc>
      </w:tr>
      <w:tr>
        <w:tc>
          <w:tcPr>
            <w:tcW w:type="dxa" w:w="2448"/>
          </w:tcPr>
          <w:p>
            <w:r>
              <w:t>Inbound</w:t>
            </w:r>
          </w:p>
        </w:tc>
        <w:tc>
          <w:tcPr>
            <w:tcW w:type="dxa" w:w="2448"/>
          </w:tcPr>
          <w:p>
            <w:r>
              <w:t>Azure control</w:t>
            </w:r>
          </w:p>
        </w:tc>
        <w:tc>
          <w:tcPr>
            <w:tcW w:type="dxa" w:w="2448"/>
          </w:tcPr>
          <w:p>
            <w:r>
              <w:t>Control plane</w:t>
            </w:r>
          </w:p>
        </w:tc>
        <w:tc>
          <w:tcPr>
            <w:tcW w:type="dxa" w:w="2448"/>
          </w:tcPr>
          <w:p>
            <w:r>
              <w:t>443</w:t>
            </w:r>
          </w:p>
        </w:tc>
        <w:tc>
          <w:tcPr>
            <w:tcW w:type="dxa" w:w="2448"/>
          </w:tcPr>
          <w:p>
            <w:r>
              <w:t>Azure platform operations</w:t>
            </w:r>
          </w:p>
        </w:tc>
      </w:tr>
      <w:tr>
        <w:tc>
          <w:tcPr>
            <w:tcW w:type="dxa" w:w="2448"/>
          </w:tcPr>
          <w:p>
            <w:r>
              <w:t>Outbound</w:t>
            </w:r>
          </w:p>
        </w:tc>
        <w:tc>
          <w:tcPr>
            <w:tcW w:type="dxa" w:w="2448"/>
          </w:tcPr>
          <w:p>
            <w:r>
              <w:t>Session hosts</w:t>
            </w:r>
          </w:p>
        </w:tc>
        <w:tc>
          <w:tcPr>
            <w:tcW w:type="dxa" w:w="2448"/>
          </w:tcPr>
          <w:p>
            <w:r>
              <w:t>Azure Files</w:t>
            </w:r>
          </w:p>
        </w:tc>
        <w:tc>
          <w:tcPr>
            <w:tcW w:type="dxa" w:w="2448"/>
          </w:tcPr>
          <w:p>
            <w:r>
              <w:t>445 / 443</w:t>
            </w:r>
          </w:p>
        </w:tc>
        <w:tc>
          <w:tcPr>
            <w:tcW w:type="dxa" w:w="2448"/>
          </w:tcPr>
          <w:p>
            <w:r>
              <w:t>FSLogix profile access</w:t>
            </w:r>
          </w:p>
        </w:tc>
      </w:tr>
      <w:tr>
        <w:tc>
          <w:tcPr>
            <w:tcW w:type="dxa" w:w="2448"/>
          </w:tcPr>
          <w:p>
            <w:r>
              <w:t>Outbound</w:t>
            </w:r>
          </w:p>
        </w:tc>
        <w:tc>
          <w:tcPr>
            <w:tcW w:type="dxa" w:w="2448"/>
          </w:tcPr>
          <w:p>
            <w:r>
              <w:t>Session hosts</w:t>
            </w:r>
          </w:p>
        </w:tc>
        <w:tc>
          <w:tcPr>
            <w:tcW w:type="dxa" w:w="2448"/>
          </w:tcPr>
          <w:p>
            <w:r>
              <w:t>Microsoft services</w:t>
            </w:r>
          </w:p>
        </w:tc>
        <w:tc>
          <w:tcPr>
            <w:tcW w:type="dxa" w:w="2448"/>
          </w:tcPr>
          <w:p>
            <w:r>
              <w:t>443</w:t>
            </w:r>
          </w:p>
        </w:tc>
        <w:tc>
          <w:tcPr>
            <w:tcW w:type="dxa" w:w="2448"/>
          </w:tcPr>
          <w:p>
            <w:r>
              <w:t>Windows/agent updates</w:t>
            </w:r>
          </w:p>
        </w:tc>
      </w:tr>
      <w:tr>
        <w:tc>
          <w:tcPr>
            <w:tcW w:type="dxa" w:w="2448"/>
          </w:tcPr>
          <w:p>
            <w:r>
              <w:t>Optional</w:t>
            </w:r>
          </w:p>
        </w:tc>
        <w:tc>
          <w:tcPr>
            <w:tcW w:type="dxa" w:w="2448"/>
          </w:tcPr>
          <w:p>
            <w:r>
              <w:t>Bastion</w:t>
            </w:r>
          </w:p>
        </w:tc>
        <w:tc>
          <w:tcPr>
            <w:tcW w:type="dxa" w:w="2448"/>
          </w:tcPr>
          <w:p>
            <w:r>
              <w:t>Session hosts</w:t>
            </w:r>
          </w:p>
        </w:tc>
        <w:tc>
          <w:tcPr>
            <w:tcW w:type="dxa" w:w="2448"/>
          </w:tcPr>
          <w:p>
            <w:r>
              <w:t>3389</w:t>
            </w:r>
          </w:p>
        </w:tc>
        <w:tc>
          <w:tcPr>
            <w:tcW w:type="dxa" w:w="2448"/>
          </w:tcPr>
          <w:p>
            <w:r>
              <w:t>RDP inside VNet only</w:t>
            </w:r>
          </w:p>
        </w:tc>
      </w:tr>
    </w:tbl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