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78D4"/>
          <w:sz w:val="44"/>
          <w:szCs w:val="44"/>
        </w:rPr>
        <w:t xml:space="preserve">AZURE INFRASTRUCTURE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ARCHITECTURE RECOMMENDATIONS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0078D4" w:sz="4"/>
              <w:right w:val="none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300" w:after="0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Resource Group Policies | Container Registry Scope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Key Vault Management | Infrastructure Planning</w:t>
      </w:r>
    </w:p>
    <w:p>
      <w:pPr>
        <w:spacing w:before="1600" w:after="0"/>
      </w:pP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Prepared by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Syed Rizvi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Cloud Infrastructure Engineer</w:t>
      </w:r>
    </w:p>
    <w:p>
      <w:pPr>
        <w:spacing w:before="200" w:after="0"/>
      </w:pPr>
    </w:p>
    <w:p>
      <w:pPr>
        <w:spacing w:after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February 5, 2026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0078D4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" w:after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TABLE OF CONTENTS</w:t>
      </w:r>
    </w:p>
    <w:p>
      <w:pPr>
        <w:pBdr>
          <w:bottom w:val="single" w:color="E5E7EB" w:sz="2"/>
        </w:pBdr>
        <w:spacing w:before="200" w:after="200"/>
      </w:pPr>
    </w:p>
    <w:p>
      <w:pPr>
        <w:spacing w:before="100" w:after="0"/>
      </w:pPr>
    </w:p>
    <w:p>
      <w:pPr>
        <w:spacing w:before="100" w:after="40"/>
        <w:ind w:left="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1    Executive Summary</w:t>
      </w:r>
    </w:p>
    <w:p>
      <w:pPr>
        <w:spacing w:before="100" w:after="40"/>
        <w:ind w:left="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2    Current Environment Overview</w:t>
      </w:r>
    </w:p>
    <w:p>
      <w:pPr>
        <w:spacing w:before="100" w:after="40"/>
        <w:ind w:left="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3    Resource Group Policy Recommendations</w:t>
      </w:r>
    </w:p>
    <w:p>
      <w:pPr>
        <w:spacing w:before="40" w:after="40"/>
        <w:ind w:left="72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3.1    Naming Convention</w:t>
      </w:r>
    </w:p>
    <w:p>
      <w:pPr>
        <w:spacing w:before="40" w:after="40"/>
        <w:ind w:left="72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3.2    Azure Policy Assignment Strategy</w:t>
      </w:r>
    </w:p>
    <w:p>
      <w:pPr>
        <w:spacing w:before="40" w:after="40"/>
        <w:ind w:left="72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3.3    Tag Enforcement</w:t>
      </w:r>
    </w:p>
    <w:p>
      <w:pPr>
        <w:spacing w:before="100" w:after="40"/>
        <w:ind w:left="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4    Container Registry Scope</w:t>
      </w:r>
    </w:p>
    <w:p>
      <w:pPr>
        <w:spacing w:before="40" w:after="40"/>
        <w:ind w:left="72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4.1    Recommended Architecture</w:t>
      </w:r>
    </w:p>
    <w:p>
      <w:pPr>
        <w:spacing w:before="40" w:after="40"/>
        <w:ind w:left="72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4.2    Image Promotion Workflow</w:t>
      </w:r>
    </w:p>
    <w:p>
      <w:pPr>
        <w:spacing w:before="100" w:after="40"/>
        <w:ind w:left="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5    Key Vault Management</w:t>
      </w:r>
    </w:p>
    <w:p>
      <w:pPr>
        <w:spacing w:before="40" w:after="40"/>
        <w:ind w:left="72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5.1    Vault-per-Environment Strategy</w:t>
      </w:r>
    </w:p>
    <w:p>
      <w:pPr>
        <w:spacing w:before="40" w:after="40"/>
        <w:ind w:left="72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5.2    Source of Truth Principles</w:t>
      </w:r>
    </w:p>
    <w:p>
      <w:pPr>
        <w:spacing w:before="40" w:after="40"/>
        <w:ind w:left="72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5.3    Access Model and Security</w:t>
      </w:r>
    </w:p>
    <w:p>
      <w:pPr>
        <w:spacing w:before="100" w:after="40"/>
        <w:ind w:left="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6    Infrastructure Planning</w:t>
      </w:r>
    </w:p>
    <w:p>
      <w:pPr>
        <w:spacing w:before="40" w:after="40"/>
        <w:ind w:left="72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6.1    Subscription Strategy</w:t>
      </w:r>
    </w:p>
    <w:p>
      <w:pPr>
        <w:spacing w:before="40" w:after="40"/>
        <w:ind w:left="72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6.2    Resource Group Layout</w:t>
      </w:r>
    </w:p>
    <w:p>
      <w:pPr>
        <w:spacing w:before="40" w:after="40"/>
        <w:ind w:left="72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6.3    CI/CD and Infrastructure as Code</w:t>
      </w:r>
    </w:p>
    <w:p>
      <w:pPr>
        <w:spacing w:before="100" w:after="40"/>
        <w:ind w:left="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7    Recommended Next Steps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This document provides architectural recommendations for structuring Azure infrastructure to support scalable, secure, and well-governed cloud operations. The recommendations address four key areas: resource group policies, container registry scope, key vault management, and long-term infrastructure planning.</w:t>
      </w: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These recommendations are based on an assessment of the current environment and align with Azure Well-Architected Framework best practices. The goal is to establish a foundation that supports growth while maintaining security, cost visibility, and operational efficiency.</w:t>
      </w:r>
    </w:p>
    <w:p>
      <w:pPr>
        <w:pBdr>
          <w:bottom w:val="single" w:color="E5E7EB" w:sz="2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Current Environment Overview</w:t>
      </w: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The following summarizes the current Azure environment as assessed: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Container App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aics-api-app-dev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rg-aics-sandbox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sub-sandbox (076fbf87-2655-4fb0-810e-98cb4e1266dc)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Region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West US 2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Environment Type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Workload profiles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Container Apps Environment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aics-api-app-env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Development Stack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Generic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07C10"/>
                <w:sz w:val="20"/>
                <w:szCs w:val="20"/>
              </w:rPr>
              <w:t xml:space="preserve">Running</w:t>
            </w:r>
          </w:p>
        </w:tc>
      </w:tr>
    </w:tbl>
    <w:p>
      <w:pPr>
        <w:spacing w:before="120" w:after="0"/>
      </w:pP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The current environment operates within a single sandbox subscription and resource group. The recommendations below outline a path to a production-ready multi-environment architecture.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Resource Group Policy Recommendations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3.1 Naming Convention</w:t>
      </w: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Adopt a consistent naming convention across all resource groups to enable clear identification, policy targeting, and cost attribution: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rg-{app}-{env}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rg-aics-dev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Application workloads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rg-{app}-{env}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rg-aics-staging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Pre-production testing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rg-{app}-{env}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rg-aics-prod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Production workloads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rg-shared-{env}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rg-shared-nonprod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Shared services (ACR, KV)</w:t>
            </w:r>
          </w:p>
        </w:tc>
      </w:tr>
    </w:tbl>
    <w:p>
      <w:pPr>
        <w:spacing w:before="120" w:after="0"/>
      </w:pP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Each environment receives its own resource group, enabling granular Azure Policy assignments without impacting other environments.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3.2 Azure Policy Assignment Strategy</w:t>
      </w: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Policies should be layered at two levels to provide broad security coverage with environment-specific controls:</w:t>
      </w:r>
    </w:p>
    <w:p>
      <w:pPr>
        <w:spacing w:before="60" w:after="0"/>
      </w:pPr>
    </w:p>
    <w:p>
      <w:pPr>
        <w:spacing w:before="80" w:after="80" w:line="3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Subscription-Level Policies (applied to all resources):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Require HTTPS for all storage accounts and web applications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Enforce mandatory tagging on all resource group creation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Restrict allowed Azure regions to approved locations only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Audit resources without diagnostic logging enabled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Deny creation of classic (non-ARM) resources</w:t>
      </w:r>
    </w:p>
    <w:p>
      <w:pPr>
        <w:spacing w:before="60" w:after="0"/>
      </w:pPr>
    </w:p>
    <w:p>
      <w:pPr>
        <w:spacing w:before="80" w:after="80" w:line="3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Resource Group-Level Policies (environment-specific):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Production: Deny public IP creation, enforce private endpoints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Production: Require specific VM SKUs and restrict scaling limits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Development: Allow broader access for experimentation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Staging: Mirror production policies for accurate testing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3.3 Tag Enforcement</w:t>
      </w: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Implement a mandatory tagging policy at the subscription level. The following tags should be required on every resource group: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Name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Identifies deployment stage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dev / staging / prod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CostCenter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Cost allocation and reporting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CC-AICS-001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Owner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Responsible team or individual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Platform Engineering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Application or service identifier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aics-api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ManagedBy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Deployment method tracking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Terraform / Manual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Container Registry Scope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 Recommended Architecture</w:t>
      </w: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The recommended approach is one Azure Container Registry (ACR) per environment tier, hosted in a shared services resource group. This avoids image duplication across resource groups while maintaining clear separation between non-production and production workloads.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acrpyxnonprod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rg-shared-nonprod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Development and Staging environments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acrpyxprod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rg-shared-prod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Production environment only</w:t>
            </w:r>
          </w:p>
        </w:tc>
      </w:tr>
    </w:tbl>
    <w:p>
      <w:pPr>
        <w:spacing w:before="120" w:after="0"/>
      </w:pPr>
    </w:p>
    <w:p>
      <w:pPr>
        <w:spacing w:before="80" w:after="80" w:line="3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Benefits of this approach: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Eliminates image duplication across resource groups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Simplifies RBAC by managing pull permissions at the registry level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Production registry is isolated and can have stricter access controls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Supports image scanning and vulnerability assessment per registry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Cost-efficient by consolidating storage within fewer registries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4.2 Image Promotion Workflow</w:t>
      </w: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Images should be built once and promoted across environments without rebuilding. This ensures the exact binary tested in staging is deployed to production.</w:t>
      </w:r>
    </w:p>
    <w:p>
      <w:pPr>
        <w:spacing w:before="60" w:after="0"/>
      </w:pP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Developer pushes code to the repository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CI pipeline builds the container image and pushes to the non-production ACR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Image is tagged with version and environment (e.g., aics-api:v1.2-dev)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After passing staging tests, the image is imported to the production ACR using az acr import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Production deployment references the imported image from the production ACR</w:t>
      </w:r>
    </w:p>
    <w:p>
      <w:pPr>
        <w:spacing w:before="80" w:after="0"/>
      </w:pP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The az acr import command copies the image between registries without requiring a rebuild, guaranteeing binary consistency across environments.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Key Vault Management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5.1 Vault-per-Environment Strategy</w:t>
      </w: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Each application environment should have a dedicated Key Vault instance. This provides complete isolation of secrets between environments and enables environment-specific access policies.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Vault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Scope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kv-aics-dev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Development team, dev Container App managed identity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kv-aics-staging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Staging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CI/CD pipeline, staging Container App managed identity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kv-aics-prod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Production Container App managed identity only, no developer access</w:t>
            </w:r>
          </w:p>
        </w:tc>
      </w:tr>
    </w:tbl>
    <w:p>
      <w:pPr>
        <w:spacing w:before="120" w:after="0"/>
      </w:pP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Production Key Vault should have the most restrictive access. No developer should have direct read access to production secrets. All access should be through managed identity and CI/CD pipelines with appropriate approvals.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5.2 Source of Truth Principles</w:t>
      </w: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Key Vault must serve as the single source of truth for all sensitive configuration. The following principles should be enforced: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No hardcoded secrets: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Connection strings, API keys, certificates, and passwords must never appear in source code, configuration files, or Container App environment variables.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Key Vault references: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Container Apps should reference secrets using Key Vault secret URIs through managed identity integration.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Secret rotation: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Establish a rotation schedule for all secrets. Key Vault supports automatic rotation for supported certificate authorities.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Audit logging: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Enable diagnostic logging on all Key Vaults to track secret access and modifications.</w:t>
      </w:r>
    </w:p>
    <w:p>
      <w:pPr>
        <w:spacing w:before="80" w:after="0"/>
      </w:pPr>
    </w:p>
    <w:p>
      <w:pPr>
        <w:spacing w:before="80" w:after="80" w:line="3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Secret Flow Between Environments: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Developers add or update secrets in the development Key Vault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The CI/CD pipeline promotes configuration structure (not secret values) across environments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Each environment Key Vault contains its own secret values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Production secrets are managed exclusively through the pipeline with approval gates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5.3 Access Model and Security</w:t>
      </w: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All Key Vaults should use the Azure RBAC access model instead of the legacy access policies. This provides more granular control and integrates with Azure Active Directory.</w:t>
      </w:r>
    </w:p>
    <w:p>
      <w:pPr>
        <w:spacing w:before="60" w:after="0"/>
      </w:pPr>
    </w:p>
    <w:p>
      <w:pPr>
        <w:spacing w:before="80" w:after="80" w:line="3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Container App Integration: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Enable system-assigned managed identity on each Container App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Assign the Key Vault Secrets User role to the managed identity on the corresponding Key Vault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Configure Container App secrets as Key Vault references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The Container App pulls secrets at runtime without storing credentials</w:t>
      </w:r>
    </w:p>
    <w:p>
      <w:pPr>
        <w:spacing w:before="80" w:after="0"/>
      </w:pPr>
    </w:p>
    <w:p>
      <w:pPr>
        <w:spacing w:before="80" w:after="80" w:line="3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Security Requirements for All Key Vaults: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Enable soft-delete with a 90-day retention period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Enable purge protection to prevent permanent deletion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Restrict network access using private endpoints for production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Enable diagnostic logging to Log Analytics workspace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Infrastructure Planning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6.1 Subscription Strategy</w:t>
      </w: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Adopt a multi-subscription strategy to provide clear boundaries between workload types. This enables independent cost tracking, policy enforcement, and access control per subscription.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Workloads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sub-sandbox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Experimentation and POCs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Prototypes, testing new services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sub-nonprod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Development and staging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All non-production application workloads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sub-prod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Production only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Production applications and services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6.2 Resource Group Layout</w:t>
      </w: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The following resource group structure provides clear separation of concerns across subscriptions and environments:</w:t>
      </w:r>
    </w:p>
    <w:p>
      <w:pPr>
        <w:spacing w:before="80" w:after="0"/>
      </w:pPr>
    </w:p>
    <w:p>
      <w:pPr>
        <w:spacing w:before="80" w:after="80" w:line="3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Non-Production Subscription (sub-nonprod):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rg-aics-dev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Container App, Container Apps Environment (development)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rg-aics-staging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Container App, Container Apps Environment (staging)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rg-shared-nonprod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ACR (acrpyxnonprod), Key Vaults (dev + staging), Log Analytics</w:t>
            </w:r>
          </w:p>
        </w:tc>
      </w:tr>
    </w:tbl>
    <w:p>
      <w:pPr>
        <w:spacing w:before="120" w:after="0"/>
      </w:pPr>
    </w:p>
    <w:p>
      <w:pPr>
        <w:spacing w:before="80" w:after="80" w:line="3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Production Subscription (sub-prod):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rg-aics-prod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Container App, Container Apps Environment (production)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rg-shared-prod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ACR (acrpyxprod), Key Vault (prod), Log Analytics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6.3 CI/CD and Infrastructure as Code</w:t>
      </w: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All infrastructure should be defined and deployed through code to ensure consistency, auditability, and repeatability.</w:t>
      </w:r>
    </w:p>
    <w:p>
      <w:pPr>
        <w:spacing w:before="60" w:after="0"/>
      </w:pPr>
    </w:p>
    <w:p>
      <w:pPr>
        <w:spacing w:before="80" w:after="80" w:line="3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Infrastructure as Code: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Define all resources using Terraform or Bicep templates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Store templates in a dedicated infrastructure repository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Use modules for reusable components (Container App, Key Vault, ACR)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Implement state management with remote backend (Azure Storage for Terraform)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No manual deployments through the Azure portal for production resources</w:t>
      </w:r>
    </w:p>
    <w:p>
      <w:pPr>
        <w:spacing w:before="80" w:after="0"/>
      </w:pPr>
    </w:p>
    <w:p>
      <w:pPr>
        <w:spacing w:before="80" w:after="80" w:line="3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CI/CD Pipeline: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Use GitHub Actions for build and deployment automation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Build container image once, promote across environments without rebuilding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Implement environment-specific deployment stages with approval gates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Production deployments require at least one manual approval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Implement automated rollback capabilities for failed deployments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Recommended Next Steps</w:t>
      </w: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1B1B1B"/>
          <w:sz w:val="22"/>
          <w:szCs w:val="22"/>
        </w:rPr>
        <w:t xml:space="preserve">The following steps outline the recommended implementation order. Each phase builds on the previous one to minimize risk and maintain operational continuity.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280"/>
        <w:gridCol w:w="228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Implement tagging policy at subscription level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High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Create resource group naming convention and migrate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High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Deploy Key Vaults per environment with RBAC model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High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Set up shared ACR per environment tier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Medium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2-3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Enable managed identity on Container Apps for Key Vault access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High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Define Azure Policies at subscription and RG levels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Medium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Implement IaC templates (Terraform/Bicep) for all resources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Medium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4-6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Set up CI/CD with image promotion workflow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Medium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5-6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Create non-production and production subscriptions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Low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6-8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Migrate workloads to new subscription/RG structure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Low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Week 8-10</w:t>
            </w:r>
          </w:p>
        </w:tc>
      </w:tr>
    </w:tbl>
    <w:p>
      <w:pPr>
        <w:spacing w:before="200" w:after="0"/>
      </w:pPr>
    </w:p>
    <w:p>
      <w:pPr>
        <w:pBdr>
          <w:bottom w:val="single" w:color="E5E7EB" w:sz="2"/>
        </w:pBdr>
        <w:spacing w:before="200" w:after="200"/>
      </w:pPr>
    </w:p>
    <w:p>
      <w:pPr>
        <w:spacing w:before="80" w:after="0"/>
      </w:pPr>
    </w:p>
    <w:p>
      <w:pPr>
        <w:spacing w:before="80" w:after="4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Document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Prepared by Syed Rizvi | February 2026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Syed Rizvi | Confidential |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Syed Rizvi | Confidential |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Azure Infrastructure Architecture Recommendations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Azure Infrastructure Architecture Recommendations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–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2026-02-05T16:42:45.057Z</dcterms:created>
  <dcterms:modified xsi:type="dcterms:W3CDTF">2026-02-05T16:42:45.058Z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