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t xml:space="preserve">INFRASTRUCTURE</w:t>
      </w:r>
      <w:r>
        <w:rPr>
          <w:b/>
          <w:bCs/>
          <w:color w:val="2E75B6"/>
          <w:sz w:val="48"/>
          <w:szCs w:val="48"/>
        </w:rPr>
        <w:t xml:space="preserve">INFRASTRUCTURE</w:t>
      </w:r>
    </w:p>
    <w:p>
      <w:pPr>
        <w:spacing w:after="120"/>
        <w:jc w:val="center"/>
      </w:pPr>
      <w:r>
        <w:t xml:space="preserve">RUNBOOKS &amp; SOPs</w:t>
      </w:r>
      <w:r>
        <w:rPr>
          <w:b/>
          <w:bCs/>
          <w:sz w:val="40"/>
          <w:szCs w:val="40"/>
        </w:rPr>
        <w:t xml:space="preserve">RUNBOOKS &amp; SOPs</w:t>
      </w:r>
    </w:p>
    <w:p>
      <w:pPr>
        <w:spacing w:after="120"/>
        <w:jc w:val="center"/>
      </w:pPr>
      <w:r>
        <w:t xml:space="preserve">Complete Documentation Package</w:t>
      </w:r>
      <w:r>
        <w:rPr>
          <w:sz w:val="28"/>
          <w:szCs w:val="28"/>
        </w:rPr>
        <w:t xml:space="preserve">Complete Documentation Package</w:t>
      </w:r>
    </w:p>
    <w:p>
      <w:pPr>
        <w:spacing w:after="480"/>
        <w:jc w:val="center"/>
      </w:pPr>
      <w:r>
        <w:t xml:space="preserve">Azure Cloud Infrastructure Automation</w:t>
      </w:r>
      <w:r>
        <w:rPr>
          <w:i/>
          <w:iCs/>
          <w:sz w:val="24"/>
          <w:szCs w:val="24"/>
        </w:rPr>
        <w:t xml:space="preserve">Azure Cloud Infrastructure Automation</w:t>
      </w:r>
    </w:p>
    <w:p>
      <w:pPr>
        <w:pBdr>
          <w:bottom w:val="double" w:color="2E75B6" w:sz="6" w:space="1"/>
        </w:pBdr>
        <w:spacing w:after="240"/>
      </w:pPr>
    </w:p>
    <w:p>
      <w:pPr>
        <w:spacing w:before="240" w:after="180"/>
        <w:jc w:val="center"/>
      </w:pPr>
      <w:r>
        <w:t xml:space="preserve">TOTAL VALUE DELIVERED</w:t>
      </w:r>
      <w:r>
        <w:rPr>
          <w:b/>
          <w:bCs/>
          <w:color w:val="2E75B6"/>
          <w:sz w:val="32"/>
          <w:szCs w:val="32"/>
        </w:rPr>
        <w:t xml:space="preserve">TOTAL VALUE DELIVERED</w:t>
      </w:r>
    </w:p>
    <w:p>
      <w:pPr>
        <w:spacing w:after="120"/>
        <w:jc w:val="center"/>
      </w:pPr>
      <w:r>
        <w:t xml:space="preserve">$123,376+ Annual Savings Identified</w:t>
      </w:r>
      <w:r>
        <w:rPr>
          <w:b/>
          <w:bCs/>
          <w:color w:val="059669"/>
          <w:sz w:val="28"/>
          <w:szCs w:val="28"/>
        </w:rPr>
        <w:t xml:space="preserve">$123,376+ Annual Savings Identified</w:t>
      </w:r>
    </w:p>
    <w:p>
      <w:pPr>
        <w:spacing w:after="120"/>
        <w:jc w:val="center"/>
      </w:pPr>
      <w:r>
        <w:t xml:space="preserve">17 Major Projects Completed | 5 In Progress</w:t>
      </w:r>
      <w:r>
        <w:rPr>
          <w:b/>
          <w:bCs/>
          <w:sz w:val="24"/>
          <w:szCs w:val="24"/>
        </w:rPr>
        <w:t xml:space="preserve">17 Major Projects Completed | 5 In Progress</w:t>
      </w:r>
    </w:p>
    <w:p>
      <w:pPr>
        <w:spacing w:after="360"/>
        <w:jc w:val="center"/>
      </w:pPr>
      <w:r>
        <w:t xml:space="preserve">50+ Automation Scripts Delivered</w:t>
      </w:r>
      <w:r>
        <w:rPr>
          <w:b/>
          <w:bCs/>
          <w:sz w:val="24"/>
          <w:szCs w:val="24"/>
        </w:rPr>
        <w:t xml:space="preserve">50+ Automation Scripts Delivered</w:t>
      </w:r>
    </w:p>
    <w:p>
      <w:pPr>
        <w:pBdr>
          <w:bottom w:val="double" w:color="2E75B6" w:sz="6" w:space="1"/>
        </w:pBdr>
        <w:spacing w:after="240"/>
      </w:pPr>
    </w:p>
    <w:p>
      <w:pPr>
        <w:spacing w:before="240" w:after="60"/>
        <w:jc w:val="center"/>
      </w:pPr>
      <w:r>
        <w:t xml:space="preserve">Document Version: 4.3</w:t>
      </w:r>
    </w:p>
    <w:p>
      <w:pPr>
        <w:spacing w:after="60"/>
        <w:jc w:val="center"/>
      </w:pPr>
      <w:r>
        <w:t xml:space="preserve">Last Updated: February 2026</w:t>
      </w:r>
    </w:p>
    <w:p>
      <w:pPr>
        <w:spacing w:after="360"/>
        <w:jc w:val="center"/>
      </w:pPr>
      <w:r>
        <w:t xml:space="preserve">Classification: Internal Use Only</w:t>
      </w:r>
    </w:p>
    <w:p>
      <w:r>
        <w:br w:type="page"/>
      </w:r>
    </w:p>
    <w:p>
      <w:pPr>
        <w:pStyle w:val="Heading1"/>
      </w:pPr>
      <w:r>
        <w:t xml:space="preserve">Executive Summary</w:t>
      </w:r>
    </w:p>
    <w:p>
      <w:pPr>
        <w:spacing w:after="240"/>
      </w:pPr>
      <w:r>
        <w:t xml:space="preserve">This document provides comprehensive runbooks and standard operating procedures for all infrastructure automation projects. Each project includes purpose, prerequisites, step-by-step implementation procedures, verification steps, troubleshooting guidance, and script locations. These runbooks enable any team member to maintain, troubleshoot, and extend the infrastructure without prior knowledge of the original implementation.</w:t>
      </w:r>
    </w:p>
    <w:p>
      <w:pPr>
        <w:pStyle w:val="Heading2"/>
      </w:pPr>
      <w:r>
        <w:t xml:space="preserve">Total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c>
          <w:tcPr>
            <w:tcW w:type="dxa" w:w="2300"/>
            <w:tcBorders>
              <w:top w:val="single" w:color="CCCCCC" w:sz="1"/>
              <w:left w:val="single" w:color="CCCCCC" w:sz="1"/>
              <w:bottom w:val="single" w:color="CCCCCC" w:sz="1"/>
              <w:right w:val="single" w:color="CCCCCC" w:sz="1"/>
            </w:tcBorders>
            <w:shd w:fill="2E75B6" w:val="clear"/>
          </w:tcPr>
          <w:p>
            <w:r>
              <w:rPr>
                <w:b/>
                <w:bCs/>
                <w:color w:val="FFFFFF"/>
              </w:rPr>
              <w:t xml:space="preserve">Category</w:t>
            </w:r>
          </w:p>
        </w:tc>
        <w:tc>
          <w:tcPr>
            <w:tcW w:type="dxa" w:w="4500"/>
            <w:tcBorders>
              <w:top w:val="single" w:color="CCCCCC" w:sz="1"/>
              <w:left w:val="single" w:color="CCCCCC" w:sz="1"/>
              <w:bottom w:val="single" w:color="CCCCCC" w:sz="1"/>
              <w:right w:val="single" w:color="CCCCCC" w:sz="1"/>
            </w:tcBorders>
            <w:shd w:fill="2E75B6" w:val="clear"/>
          </w:tcPr>
          <w:p>
            <w:r>
              <w:rPr>
                <w:b/>
                <w:bCs/>
                <w:color w:val="FFFFFF"/>
              </w:rPr>
              <w:t xml:space="preserve">Metric</w:t>
            </w:r>
          </w:p>
        </w:tc>
        <w:tc>
          <w:tcPr>
            <w:tcW w:type="dxa" w:w="2560"/>
            <w:tcBorders>
              <w:top w:val="single" w:color="CCCCCC" w:sz="1"/>
              <w:left w:val="single" w:color="CCCCCC" w:sz="1"/>
              <w:bottom w:val="single" w:color="CCCCCC" w:sz="1"/>
              <w:right w:val="single" w:color="CCCCCC" w:sz="1"/>
            </w:tcBorders>
            <w:shd w:fill="2E75B6" w:val="clear"/>
          </w:tcPr>
          <w:p>
            <w:r>
              <w:rPr>
                <w:b/>
                <w:bCs/>
                <w:color w:val="FFFFFF"/>
              </w:rPr>
              <w:t xml:space="preserve">Value</w:t>
            </w:r>
          </w:p>
        </w:tc>
      </w:tr>
      <w:tr>
        <w:tc>
          <w:tcPr>
            <w:tcW w:type="dxa" w:w="2300"/>
            <w:tcBorders>
              <w:top w:val="single" w:color="CCCCCC" w:sz="1"/>
              <w:left w:val="single" w:color="CCCCCC" w:sz="1"/>
              <w:bottom w:val="single" w:color="CCCCCC" w:sz="1"/>
              <w:right w:val="single" w:color="CCCCCC" w:sz="1"/>
            </w:tcBorders>
          </w:tcPr>
          <w:p>
            <w:r>
              <w:t xml:space="preserve">Cost Savings</w:t>
            </w:r>
          </w:p>
        </w:tc>
        <w:tc>
          <w:tcPr>
            <w:tcW w:type="dxa" w:w="4500"/>
            <w:tcBorders>
              <w:top w:val="single" w:color="CCCCCC" w:sz="1"/>
              <w:left w:val="single" w:color="CCCCCC" w:sz="1"/>
              <w:bottom w:val="single" w:color="CCCCCC" w:sz="1"/>
              <w:right w:val="single" w:color="CCCCCC" w:sz="1"/>
            </w:tcBorders>
          </w:tcPr>
          <w:p>
            <w:r>
              <w:t xml:space="preserve">Idle Resources Cleanup (92 resources)</w:t>
            </w:r>
          </w:p>
        </w:tc>
        <w:tc>
          <w:tcPr>
            <w:tcW w:type="dxa" w:w="2560"/>
            <w:tcBorders>
              <w:top w:val="single" w:color="CCCCCC" w:sz="1"/>
              <w:left w:val="single" w:color="CCCCCC" w:sz="1"/>
              <w:bottom w:val="single" w:color="CCCCCC" w:sz="1"/>
              <w:right w:val="single" w:color="CCCCCC" w:sz="1"/>
            </w:tcBorders>
          </w:tcPr>
          <w:p>
            <w:r>
              <w:t xml:space="preserve">$60,000/year</w:t>
            </w:r>
          </w:p>
        </w:tc>
      </w:tr>
      <w:tr>
        <w:tc>
          <w:tcPr>
            <w:tcW w:type="dxa" w:w="2300"/>
            <w:tcBorders>
              <w:top w:val="single" w:color="CCCCCC" w:sz="1"/>
              <w:left w:val="single" w:color="CCCCCC" w:sz="1"/>
              <w:bottom w:val="single" w:color="CCCCCC" w:sz="1"/>
              <w:right w:val="single" w:color="CCCCCC" w:sz="1"/>
            </w:tcBorders>
          </w:tcPr>
          <w:p>
            <w:r>
              <w:t xml:space="preserve">Cost Savings</w:t>
            </w:r>
          </w:p>
        </w:tc>
        <w:tc>
          <w:tcPr>
            <w:tcW w:type="dxa" w:w="4500"/>
            <w:tcBorders>
              <w:top w:val="single" w:color="CCCCCC" w:sz="1"/>
              <w:left w:val="single" w:color="CCCCCC" w:sz="1"/>
              <w:bottom w:val="single" w:color="CCCCCC" w:sz="1"/>
              <w:right w:val="single" w:color="CCCCCC" w:sz="1"/>
            </w:tcBorders>
          </w:tcPr>
          <w:p>
            <w:r>
              <w:t xml:space="preserve">SQL Database Right-Sizing (291 databases)</w:t>
            </w:r>
          </w:p>
        </w:tc>
        <w:tc>
          <w:tcPr>
            <w:tcW w:type="dxa" w:w="2560"/>
            <w:tcBorders>
              <w:top w:val="single" w:color="CCCCCC" w:sz="1"/>
              <w:left w:val="single" w:color="CCCCCC" w:sz="1"/>
              <w:bottom w:val="single" w:color="CCCCCC" w:sz="1"/>
              <w:right w:val="single" w:color="CCCCCC" w:sz="1"/>
            </w:tcBorders>
          </w:tcPr>
          <w:p>
            <w:r>
              <w:t xml:space="preserve">$59,650/year</w:t>
            </w:r>
          </w:p>
        </w:tc>
      </w:tr>
      <w:tr>
        <w:tc>
          <w:tcPr>
            <w:tcW w:type="dxa" w:w="2300"/>
            <w:tcBorders>
              <w:top w:val="single" w:color="CCCCCC" w:sz="1"/>
              <w:left w:val="single" w:color="CCCCCC" w:sz="1"/>
              <w:bottom w:val="single" w:color="CCCCCC" w:sz="1"/>
              <w:right w:val="single" w:color="CCCCCC" w:sz="1"/>
            </w:tcBorders>
          </w:tcPr>
          <w:p>
            <w:r>
              <w:t xml:space="preserve">Cost Savings</w:t>
            </w:r>
          </w:p>
        </w:tc>
        <w:tc>
          <w:tcPr>
            <w:tcW w:type="dxa" w:w="4500"/>
            <w:tcBorders>
              <w:top w:val="single" w:color="CCCCCC" w:sz="1"/>
              <w:left w:val="single" w:color="CCCCCC" w:sz="1"/>
              <w:bottom w:val="single" w:color="CCCCCC" w:sz="1"/>
              <w:right w:val="single" w:color="CCCCCC" w:sz="1"/>
            </w:tcBorders>
          </w:tcPr>
          <w:p>
            <w:r>
              <w:t xml:space="preserve">SQL DTU SmartFix Recovery</w:t>
            </w:r>
          </w:p>
        </w:tc>
        <w:tc>
          <w:tcPr>
            <w:tcW w:type="dxa" w:w="2560"/>
            <w:tcBorders>
              <w:top w:val="single" w:color="CCCCCC" w:sz="1"/>
              <w:left w:val="single" w:color="CCCCCC" w:sz="1"/>
              <w:bottom w:val="single" w:color="CCCCCC" w:sz="1"/>
              <w:right w:val="single" w:color="CCCCCC" w:sz="1"/>
            </w:tcBorders>
          </w:tcPr>
          <w:p>
            <w:r>
              <w:t xml:space="preserve">$3,726/year</w:t>
            </w:r>
          </w:p>
        </w:tc>
      </w:tr>
      <w:tr>
        <w:tc>
          <w:tcPr>
            <w:tcW w:type="dxa" w:w="2300"/>
            <w:tcBorders>
              <w:top w:val="single" w:color="CCCCCC" w:sz="1"/>
              <w:left w:val="single" w:color="CCCCCC" w:sz="1"/>
              <w:bottom w:val="single" w:color="CCCCCC" w:sz="1"/>
              <w:right w:val="single" w:color="CCCCCC" w:sz="1"/>
            </w:tcBorders>
            <w:shd w:fill="D1FAE5" w:val="clear"/>
          </w:tcPr>
          <w:p>
            <w:r>
              <w:rPr>
                <w:b/>
                <w:bCs/>
              </w:rPr>
              <w:t xml:space="preserve">Cost Savings</w:t>
            </w:r>
          </w:p>
        </w:tc>
        <w:tc>
          <w:tcPr>
            <w:tcW w:type="dxa" w:w="4500"/>
            <w:tcBorders>
              <w:top w:val="single" w:color="CCCCCC" w:sz="1"/>
              <w:left w:val="single" w:color="CCCCCC" w:sz="1"/>
              <w:bottom w:val="single" w:color="CCCCCC" w:sz="1"/>
              <w:right w:val="single" w:color="CCCCCC" w:sz="1"/>
            </w:tcBorders>
            <w:shd w:fill="D1FAE5" w:val="clear"/>
          </w:tcPr>
          <w:p>
            <w:r>
              <w:rPr>
                <w:b/>
                <w:bCs/>
              </w:rPr>
              <w:t xml:space="preserve">Total Annual Savings</w:t>
            </w:r>
          </w:p>
        </w:tc>
        <w:tc>
          <w:tcPr>
            <w:tcW w:type="dxa" w:w="2560"/>
            <w:tcBorders>
              <w:top w:val="single" w:color="CCCCCC" w:sz="1"/>
              <w:left w:val="single" w:color="CCCCCC" w:sz="1"/>
              <w:bottom w:val="single" w:color="CCCCCC" w:sz="1"/>
              <w:right w:val="single" w:color="CCCCCC" w:sz="1"/>
            </w:tcBorders>
            <w:shd w:fill="D1FAE5" w:val="clear"/>
          </w:tcPr>
          <w:p>
            <w:r>
              <w:rPr>
                <w:b/>
                <w:bCs/>
                <w:color w:val="059669"/>
              </w:rPr>
              <w:t xml:space="preserve">$123,376+/year</w:t>
            </w:r>
          </w:p>
        </w:tc>
      </w:tr>
      <w:tr>
        <w:tc>
          <w:tcPr>
            <w:tcW w:type="dxa" w:w="2300"/>
            <w:tcBorders>
              <w:top w:val="single" w:color="CCCCCC" w:sz="1"/>
              <w:left w:val="single" w:color="CCCCCC" w:sz="1"/>
              <w:bottom w:val="single" w:color="CCCCCC" w:sz="1"/>
              <w:right w:val="single" w:color="CCCCCC" w:sz="1"/>
            </w:tcBorders>
          </w:tcPr>
          <w:p>
            <w:r>
              <w:t xml:space="preserve">Security</w:t>
            </w:r>
          </w:p>
        </w:tc>
        <w:tc>
          <w:tcPr>
            <w:tcW w:type="dxa" w:w="4500"/>
            <w:tcBorders>
              <w:top w:val="single" w:color="CCCCCC" w:sz="1"/>
              <w:left w:val="single" w:color="CCCCCC" w:sz="1"/>
              <w:bottom w:val="single" w:color="CCCCCC" w:sz="1"/>
              <w:right w:val="single" w:color="CCCCCC" w:sz="1"/>
            </w:tcBorders>
          </w:tcPr>
          <w:p>
            <w:r>
              <w:t xml:space="preserve">AD Security Audit (Critical Issues Found)</w:t>
            </w:r>
          </w:p>
        </w:tc>
        <w:tc>
          <w:tcPr>
            <w:tcW w:type="dxa" w:w="2560"/>
            <w:tcBorders>
              <w:top w:val="single" w:color="CCCCCC" w:sz="1"/>
              <w:left w:val="single" w:color="CCCCCC" w:sz="1"/>
              <w:bottom w:val="single" w:color="CCCCCC" w:sz="1"/>
              <w:right w:val="single" w:color="CCCCCC" w:sz="1"/>
            </w:tcBorders>
          </w:tcPr>
          <w:p>
            <w:r>
              <w:t xml:space="preserve">29 Critical + 126 High</w:t>
            </w:r>
          </w:p>
        </w:tc>
      </w:tr>
      <w:tr>
        <w:tc>
          <w:tcPr>
            <w:tcW w:type="dxa" w:w="2300"/>
            <w:tcBorders>
              <w:top w:val="single" w:color="CCCCCC" w:sz="1"/>
              <w:left w:val="single" w:color="CCCCCC" w:sz="1"/>
              <w:bottom w:val="single" w:color="CCCCCC" w:sz="1"/>
              <w:right w:val="single" w:color="CCCCCC" w:sz="1"/>
            </w:tcBorders>
          </w:tcPr>
          <w:p>
            <w:r>
              <w:t xml:space="preserve">Security</w:t>
            </w:r>
          </w:p>
        </w:tc>
        <w:tc>
          <w:tcPr>
            <w:tcW w:type="dxa" w:w="4500"/>
            <w:tcBorders>
              <w:top w:val="single" w:color="CCCCCC" w:sz="1"/>
              <w:left w:val="single" w:color="CCCCCC" w:sz="1"/>
              <w:bottom w:val="single" w:color="CCCCCC" w:sz="1"/>
              <w:right w:val="single" w:color="CCCCCC" w:sz="1"/>
            </w:tcBorders>
          </w:tcPr>
          <w:p>
            <w:r>
              <w:t xml:space="preserve">M365 Password Policy</w:t>
            </w:r>
          </w:p>
        </w:tc>
        <w:tc>
          <w:tcPr>
            <w:tcW w:type="dxa" w:w="2560"/>
            <w:tcBorders>
              <w:top w:val="single" w:color="CCCCCC" w:sz="1"/>
              <w:left w:val="single" w:color="CCCCCC" w:sz="1"/>
              <w:bottom w:val="single" w:color="CCCCCC" w:sz="1"/>
              <w:right w:val="single" w:color="CCCCCC" w:sz="1"/>
            </w:tcBorders>
          </w:tcPr>
          <w:p>
            <w:r>
              <w:t xml:space="preserve">271 users, 90-day expiry</w:t>
            </w:r>
          </w:p>
        </w:tc>
      </w:tr>
      <w:tr>
        <w:tc>
          <w:tcPr>
            <w:tcW w:type="dxa" w:w="2300"/>
            <w:tcBorders>
              <w:top w:val="single" w:color="CCCCCC" w:sz="1"/>
              <w:left w:val="single" w:color="CCCCCC" w:sz="1"/>
              <w:bottom w:val="single" w:color="CCCCCC" w:sz="1"/>
              <w:right w:val="single" w:color="CCCCCC" w:sz="1"/>
            </w:tcBorders>
          </w:tcPr>
          <w:p>
            <w:r>
              <w:t xml:space="preserve">Monitoring</w:t>
            </w:r>
          </w:p>
        </w:tc>
        <w:tc>
          <w:tcPr>
            <w:tcW w:type="dxa" w:w="4500"/>
            <w:tcBorders>
              <w:top w:val="single" w:color="CCCCCC" w:sz="1"/>
              <w:left w:val="single" w:color="CCCCCC" w:sz="1"/>
              <w:bottom w:val="single" w:color="CCCCCC" w:sz="1"/>
              <w:right w:val="single" w:color="CCCCCC" w:sz="1"/>
            </w:tcBorders>
          </w:tcPr>
          <w:p>
            <w:r>
              <w:t xml:space="preserve">SQL Daily Monitor</w:t>
            </w:r>
          </w:p>
        </w:tc>
        <w:tc>
          <w:tcPr>
            <w:tcW w:type="dxa" w:w="2560"/>
            <w:tcBorders>
              <w:top w:val="single" w:color="CCCCCC" w:sz="1"/>
              <w:left w:val="single" w:color="CCCCCC" w:sz="1"/>
              <w:bottom w:val="single" w:color="CCCCCC" w:sz="1"/>
              <w:right w:val="single" w:color="CCCCCC" w:sz="1"/>
            </w:tcBorders>
          </w:tcPr>
          <w:p>
            <w:r>
              <w:t xml:space="preserve">170 DBs scanned daily</w:t>
            </w:r>
          </w:p>
        </w:tc>
      </w:tr>
      <w:tr>
        <w:tc>
          <w:tcPr>
            <w:tcW w:type="dxa" w:w="2300"/>
            <w:tcBorders>
              <w:top w:val="single" w:color="CCCCCC" w:sz="1"/>
              <w:left w:val="single" w:color="CCCCCC" w:sz="1"/>
              <w:bottom w:val="single" w:color="CCCCCC" w:sz="1"/>
              <w:right w:val="single" w:color="CCCCCC" w:sz="1"/>
            </w:tcBorders>
          </w:tcPr>
          <w:p>
            <w:r>
              <w:t xml:space="preserve">Automation</w:t>
            </w:r>
          </w:p>
        </w:tc>
        <w:tc>
          <w:tcPr>
            <w:tcW w:type="dxa" w:w="4500"/>
            <w:tcBorders>
              <w:top w:val="single" w:color="CCCCCC" w:sz="1"/>
              <w:left w:val="single" w:color="CCCCCC" w:sz="1"/>
              <w:bottom w:val="single" w:color="CCCCCC" w:sz="1"/>
              <w:right w:val="single" w:color="CCCCCC" w:sz="1"/>
            </w:tcBorders>
          </w:tcPr>
          <w:p>
            <w:r>
              <w:t xml:space="preserve">PowerShell Scripts Delivered</w:t>
            </w:r>
          </w:p>
        </w:tc>
        <w:tc>
          <w:tcPr>
            <w:tcW w:type="dxa" w:w="2560"/>
            <w:tcBorders>
              <w:top w:val="single" w:color="CCCCCC" w:sz="1"/>
              <w:left w:val="single" w:color="CCCCCC" w:sz="1"/>
              <w:bottom w:val="single" w:color="CCCCCC" w:sz="1"/>
              <w:right w:val="single" w:color="CCCCCC" w:sz="1"/>
            </w:tcBorders>
          </w:tcPr>
          <w:p>
            <w:r>
              <w:t xml:space="preserve">50+ scripts</w:t>
            </w:r>
          </w:p>
        </w:tc>
      </w:tr>
      <w:tr>
        <w:tc>
          <w:tcPr>
            <w:tcW w:type="dxa" w:w="2300"/>
            <w:tcBorders>
              <w:top w:val="single" w:color="CCCCCC" w:sz="1"/>
              <w:left w:val="single" w:color="CCCCCC" w:sz="1"/>
              <w:bottom w:val="single" w:color="CCCCCC" w:sz="1"/>
              <w:right w:val="single" w:color="CCCCCC" w:sz="1"/>
            </w:tcBorders>
          </w:tcPr>
          <w:p>
            <w:r>
              <w:t xml:space="preserve">Automation</w:t>
            </w:r>
          </w:p>
        </w:tc>
        <w:tc>
          <w:tcPr>
            <w:tcW w:type="dxa" w:w="4500"/>
            <w:tcBorders>
              <w:top w:val="single" w:color="CCCCCC" w:sz="1"/>
              <w:left w:val="single" w:color="CCCCCC" w:sz="1"/>
              <w:bottom w:val="single" w:color="CCCCCC" w:sz="1"/>
              <w:right w:val="single" w:color="CCCCCC" w:sz="1"/>
            </w:tcBorders>
          </w:tcPr>
          <w:p>
            <w:r>
              <w:t xml:space="preserve">Projects Completed</w:t>
            </w:r>
          </w:p>
        </w:tc>
        <w:tc>
          <w:tcPr>
            <w:tcW w:type="dxa" w:w="2560"/>
            <w:tcBorders>
              <w:top w:val="single" w:color="CCCCCC" w:sz="1"/>
              <w:left w:val="single" w:color="CCCCCC" w:sz="1"/>
              <w:bottom w:val="single" w:color="CCCCCC" w:sz="1"/>
              <w:right w:val="single" w:color="CCCCCC" w:sz="1"/>
            </w:tcBorders>
          </w:tcPr>
          <w:p>
            <w:r>
              <w:t xml:space="preserve">17 + 5 in progress</w:t>
            </w:r>
          </w:p>
        </w:tc>
      </w:tr>
      <w:tr>
        <w:tc>
          <w:tcPr>
            <w:tcW w:type="dxa" w:w="2300"/>
            <w:tcBorders>
              <w:top w:val="single" w:color="CCCCCC" w:sz="1"/>
              <w:left w:val="single" w:color="CCCCCC" w:sz="1"/>
              <w:bottom w:val="single" w:color="CCCCCC" w:sz="1"/>
              <w:right w:val="single" w:color="CCCCCC" w:sz="1"/>
            </w:tcBorders>
          </w:tcPr>
          <w:p>
            <w:r>
              <w:t xml:space="preserve">Efficiency</w:t>
            </w:r>
          </w:p>
        </w:tc>
        <w:tc>
          <w:tcPr>
            <w:tcW w:type="dxa" w:w="4500"/>
            <w:tcBorders>
              <w:top w:val="single" w:color="CCCCCC" w:sz="1"/>
              <w:left w:val="single" w:color="CCCCCC" w:sz="1"/>
              <w:bottom w:val="single" w:color="CCCCCC" w:sz="1"/>
              <w:right w:val="single" w:color="CCCCCC" w:sz="1"/>
            </w:tcBorders>
          </w:tcPr>
          <w:p>
            <w:r>
              <w:t xml:space="preserve">Manual Tasks Automated</w:t>
            </w:r>
          </w:p>
        </w:tc>
        <w:tc>
          <w:tcPr>
            <w:tcW w:type="dxa" w:w="2560"/>
            <w:tcBorders>
              <w:top w:val="single" w:color="CCCCCC" w:sz="1"/>
              <w:left w:val="single" w:color="CCCCCC" w:sz="1"/>
              <w:bottom w:val="single" w:color="CCCCCC" w:sz="1"/>
              <w:right w:val="single" w:color="CCCCCC" w:sz="1"/>
            </w:tcBorders>
          </w:tcPr>
          <w:p>
            <w:r>
              <w:t xml:space="preserve">100+ hours/month saved</w:t>
            </w:r>
          </w:p>
        </w:tc>
      </w:tr>
    </w:tbl>
    <w:p>
      <w:pPr>
        <w:spacing w:before="360" w:after="240"/>
      </w:pPr>
    </w:p>
    <w:p>
      <w:pPr>
        <w:pStyle w:val="Heading2"/>
      </w:pPr>
      <w:r>
        <w:t xml:space="preserve">Projects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2960"/>
      </w:tblGrid>
      <w:tr>
        <w:tc>
          <w:tcPr>
            <w:tcW w:type="dxa" w:w="600"/>
            <w:tcBorders>
              <w:top w:val="single" w:color="CCCCCC" w:sz="1"/>
              <w:left w:val="single" w:color="CCCCCC" w:sz="1"/>
              <w:bottom w:val="single" w:color="CCCCCC" w:sz="1"/>
              <w:right w:val="single" w:color="CCCCCC" w:sz="1"/>
            </w:tcBorders>
            <w:shd w:fill="2E75B6" w:val="clear"/>
          </w:tcPr>
          <w:p>
            <w:r>
              <w:rPr>
                <w:b/>
                <w:bCs/>
                <w:color w:val="FFFFFF"/>
              </w:rPr>
              <w:t xml:space="preserve">#</w:t>
            </w:r>
          </w:p>
        </w:tc>
        <w:tc>
          <w:tcPr>
            <w:tcW w:type="dxa" w:w="4000"/>
            <w:tcBorders>
              <w:top w:val="single" w:color="CCCCCC" w:sz="1"/>
              <w:left w:val="single" w:color="CCCCCC" w:sz="1"/>
              <w:bottom w:val="single" w:color="CCCCCC" w:sz="1"/>
              <w:right w:val="single" w:color="CCCCCC" w:sz="1"/>
            </w:tcBorders>
            <w:shd w:fill="2E75B6" w:val="clear"/>
          </w:tcPr>
          <w:p>
            <w:r>
              <w:rPr>
                <w:b/>
                <w:bCs/>
                <w:color w:val="FFFFFF"/>
              </w:rPr>
              <w:t xml:space="preserve">Project</w:t>
            </w:r>
          </w:p>
        </w:tc>
        <w:tc>
          <w:tcPr>
            <w:tcW w:type="dxa" w:w="1800"/>
            <w:tcBorders>
              <w:top w:val="single" w:color="CCCCCC" w:sz="1"/>
              <w:left w:val="single" w:color="CCCCCC" w:sz="1"/>
              <w:bottom w:val="single" w:color="CCCCCC" w:sz="1"/>
              <w:right w:val="single" w:color="CCCCCC" w:sz="1"/>
            </w:tcBorders>
            <w:shd w:fill="2E75B6" w:val="clear"/>
          </w:tcPr>
          <w:p>
            <w:r>
              <w:rPr>
                <w:b/>
                <w:bCs/>
                <w:color w:val="FFFFFF"/>
              </w:rPr>
              <w:t xml:space="preserve">Status</w:t>
            </w:r>
          </w:p>
        </w:tc>
        <w:tc>
          <w:tcPr>
            <w:tcW w:type="dxa" w:w="2960"/>
            <w:tcBorders>
              <w:top w:val="single" w:color="CCCCCC" w:sz="1"/>
              <w:left w:val="single" w:color="CCCCCC" w:sz="1"/>
              <w:bottom w:val="single" w:color="CCCCCC" w:sz="1"/>
              <w:right w:val="single" w:color="CCCCCC" w:sz="1"/>
            </w:tcBorders>
            <w:shd w:fill="2E75B6" w:val="clear"/>
          </w:tcPr>
          <w:p>
            <w:r>
              <w:rPr>
                <w:b/>
                <w:bCs/>
                <w:color w:val="FFFFFF"/>
              </w:rPr>
              <w:t xml:space="preserve">Business Impact</w:t>
            </w:r>
          </w:p>
        </w:tc>
      </w:tr>
      <w:tr>
        <w:tc>
          <w:tcPr>
            <w:tcW w:type="dxa" w:w="600"/>
            <w:tcBorders>
              <w:top w:val="single" w:color="CCCCCC" w:sz="1"/>
              <w:left w:val="single" w:color="CCCCCC" w:sz="1"/>
              <w:bottom w:val="single" w:color="CCCCCC" w:sz="1"/>
              <w:right w:val="single" w:color="CCCCCC" w:sz="1"/>
            </w:tcBorders>
          </w:tcPr>
          <w:p>
            <w:r>
              <w:t xml:space="preserve">1</w:t>
            </w:r>
          </w:p>
        </w:tc>
        <w:tc>
          <w:tcPr>
            <w:tcW w:type="dxa" w:w="4000"/>
            <w:tcBorders>
              <w:top w:val="single" w:color="CCCCCC" w:sz="1"/>
              <w:left w:val="single" w:color="CCCCCC" w:sz="1"/>
              <w:bottom w:val="single" w:color="CCCCCC" w:sz="1"/>
              <w:right w:val="single" w:color="CCCCCC" w:sz="1"/>
            </w:tcBorders>
          </w:tcPr>
          <w:p>
            <w:r>
              <w:t xml:space="preserve">Idle Resources Cleanup</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$60,000/year savings</w:t>
            </w:r>
          </w:p>
        </w:tc>
      </w:tr>
      <w:tr>
        <w:tc>
          <w:tcPr>
            <w:tcW w:type="dxa" w:w="600"/>
            <w:tcBorders>
              <w:top w:val="single" w:color="CCCCCC" w:sz="1"/>
              <w:left w:val="single" w:color="CCCCCC" w:sz="1"/>
              <w:bottom w:val="single" w:color="CCCCCC" w:sz="1"/>
              <w:right w:val="single" w:color="CCCCCC" w:sz="1"/>
            </w:tcBorders>
          </w:tcPr>
          <w:p>
            <w:r>
              <w:t xml:space="preserve">2</w:t>
            </w:r>
          </w:p>
        </w:tc>
        <w:tc>
          <w:tcPr>
            <w:tcW w:type="dxa" w:w="4000"/>
            <w:tcBorders>
              <w:top w:val="single" w:color="CCCCCC" w:sz="1"/>
              <w:left w:val="single" w:color="CCCCCC" w:sz="1"/>
              <w:bottom w:val="single" w:color="CCCCCC" w:sz="1"/>
              <w:right w:val="single" w:color="CCCCCC" w:sz="1"/>
            </w:tcBorders>
          </w:tcPr>
          <w:p>
            <w:r>
              <w:t xml:space="preserve">SQL Cost Optimization Audit</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$59,650/year savings</w:t>
            </w:r>
          </w:p>
        </w:tc>
      </w:tr>
      <w:tr>
        <w:tc>
          <w:tcPr>
            <w:tcW w:type="dxa" w:w="600"/>
            <w:tcBorders>
              <w:top w:val="single" w:color="CCCCCC" w:sz="1"/>
              <w:left w:val="single" w:color="CCCCCC" w:sz="1"/>
              <w:bottom w:val="single" w:color="CCCCCC" w:sz="1"/>
              <w:right w:val="single" w:color="CCCCCC" w:sz="1"/>
            </w:tcBorders>
          </w:tcPr>
          <w:p>
            <w:r>
              <w:t xml:space="preserve">3</w:t>
            </w:r>
          </w:p>
        </w:tc>
        <w:tc>
          <w:tcPr>
            <w:tcW w:type="dxa" w:w="4000"/>
            <w:tcBorders>
              <w:top w:val="single" w:color="CCCCCC" w:sz="1"/>
              <w:left w:val="single" w:color="CCCCCC" w:sz="1"/>
              <w:bottom w:val="single" w:color="CCCCCC" w:sz="1"/>
              <w:right w:val="single" w:color="CCCCCC" w:sz="1"/>
            </w:tcBorders>
          </w:tcPr>
          <w:p>
            <w:r>
              <w:t xml:space="preserve">Databricks Cost Analysis</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Cost visibility + runaway scenarios</w:t>
            </w:r>
          </w:p>
        </w:tc>
      </w:tr>
      <w:tr>
        <w:tc>
          <w:tcPr>
            <w:tcW w:type="dxa" w:w="600"/>
            <w:tcBorders>
              <w:top w:val="single" w:color="CCCCCC" w:sz="1"/>
              <w:left w:val="single" w:color="CCCCCC" w:sz="1"/>
              <w:bottom w:val="single" w:color="CCCCCC" w:sz="1"/>
              <w:right w:val="single" w:color="CCCCCC" w:sz="1"/>
            </w:tcBorders>
          </w:tcPr>
          <w:p>
            <w:r>
              <w:t xml:space="preserve">4</w:t>
            </w:r>
          </w:p>
        </w:tc>
        <w:tc>
          <w:tcPr>
            <w:tcW w:type="dxa" w:w="4000"/>
            <w:tcBorders>
              <w:top w:val="single" w:color="CCCCCC" w:sz="1"/>
              <w:left w:val="single" w:color="CCCCCC" w:sz="1"/>
              <w:bottom w:val="single" w:color="CCCCCC" w:sz="1"/>
              <w:right w:val="single" w:color="CCCCCC" w:sz="1"/>
            </w:tcBorders>
          </w:tcPr>
          <w:p>
            <w:r>
              <w:t xml:space="preserve">SQL DTU SmartFix + Outage Recovery</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$3,726/year + outage fixed</w:t>
            </w:r>
          </w:p>
        </w:tc>
      </w:tr>
      <w:tr>
        <w:tc>
          <w:tcPr>
            <w:tcW w:type="dxa" w:w="600"/>
            <w:tcBorders>
              <w:top w:val="single" w:color="CCCCCC" w:sz="1"/>
              <w:left w:val="single" w:color="CCCCCC" w:sz="1"/>
              <w:bottom w:val="single" w:color="CCCCCC" w:sz="1"/>
              <w:right w:val="single" w:color="CCCCCC" w:sz="1"/>
            </w:tcBorders>
          </w:tcPr>
          <w:p>
            <w:r>
              <w:t xml:space="preserve">5</w:t>
            </w:r>
          </w:p>
        </w:tc>
        <w:tc>
          <w:tcPr>
            <w:tcW w:type="dxa" w:w="4000"/>
            <w:tcBorders>
              <w:top w:val="single" w:color="CCCCCC" w:sz="1"/>
              <w:left w:val="single" w:color="CCCCCC" w:sz="1"/>
              <w:bottom w:val="single" w:color="CCCCCC" w:sz="1"/>
              <w:right w:val="single" w:color="CCCCCC" w:sz="1"/>
            </w:tcBorders>
          </w:tcPr>
          <w:p>
            <w:r>
              <w:t xml:space="preserve">AD Security Audit</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29 critical + 126 high issues found</w:t>
            </w:r>
          </w:p>
        </w:tc>
      </w:tr>
      <w:tr>
        <w:tc>
          <w:tcPr>
            <w:tcW w:type="dxa" w:w="600"/>
            <w:tcBorders>
              <w:top w:val="single" w:color="CCCCCC" w:sz="1"/>
              <w:left w:val="single" w:color="CCCCCC" w:sz="1"/>
              <w:bottom w:val="single" w:color="CCCCCC" w:sz="1"/>
              <w:right w:val="single" w:color="CCCCCC" w:sz="1"/>
            </w:tcBorders>
          </w:tcPr>
          <w:p>
            <w:r>
              <w:t xml:space="preserve">6</w:t>
            </w:r>
          </w:p>
        </w:tc>
        <w:tc>
          <w:tcPr>
            <w:tcW w:type="dxa" w:w="4000"/>
            <w:tcBorders>
              <w:top w:val="single" w:color="CCCCCC" w:sz="1"/>
              <w:left w:val="single" w:color="CCCCCC" w:sz="1"/>
              <w:bottom w:val="single" w:color="CCCCCC" w:sz="1"/>
              <w:right w:val="single" w:color="CCCCCC" w:sz="1"/>
            </w:tcBorders>
          </w:tcPr>
          <w:p>
            <w:r>
              <w:t xml:space="preserve">MOVEit Security Infrastructure</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Enterprise security</w:t>
            </w:r>
          </w:p>
        </w:tc>
      </w:tr>
      <w:tr>
        <w:tc>
          <w:tcPr>
            <w:tcW w:type="dxa" w:w="600"/>
            <w:tcBorders>
              <w:top w:val="single" w:color="CCCCCC" w:sz="1"/>
              <w:left w:val="single" w:color="CCCCCC" w:sz="1"/>
              <w:bottom w:val="single" w:color="CCCCCC" w:sz="1"/>
              <w:right w:val="single" w:color="CCCCCC" w:sz="1"/>
            </w:tcBorders>
          </w:tcPr>
          <w:p>
            <w:r>
              <w:t xml:space="preserve">7</w:t>
            </w:r>
          </w:p>
        </w:tc>
        <w:tc>
          <w:tcPr>
            <w:tcW w:type="dxa" w:w="4000"/>
            <w:tcBorders>
              <w:top w:val="single" w:color="CCCCCC" w:sz="1"/>
              <w:left w:val="single" w:color="CCCCCC" w:sz="1"/>
              <w:bottom w:val="single" w:color="CCCCCC" w:sz="1"/>
              <w:right w:val="single" w:color="CCCCCC" w:sz="1"/>
            </w:tcBorders>
          </w:tcPr>
          <w:p>
            <w:r>
              <w:t xml:space="preserve">Azure Bastion Deployment</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Secure VM access</w:t>
            </w:r>
          </w:p>
        </w:tc>
      </w:tr>
      <w:tr>
        <w:tc>
          <w:tcPr>
            <w:tcW w:type="dxa" w:w="600"/>
            <w:tcBorders>
              <w:top w:val="single" w:color="CCCCCC" w:sz="1"/>
              <w:left w:val="single" w:color="CCCCCC" w:sz="1"/>
              <w:bottom w:val="single" w:color="CCCCCC" w:sz="1"/>
              <w:right w:val="single" w:color="CCCCCC" w:sz="1"/>
            </w:tcBorders>
          </w:tcPr>
          <w:p>
            <w:r>
              <w:t xml:space="preserve">8</w:t>
            </w:r>
          </w:p>
        </w:tc>
        <w:tc>
          <w:tcPr>
            <w:tcW w:type="dxa" w:w="4000"/>
            <w:tcBorders>
              <w:top w:val="single" w:color="CCCCCC" w:sz="1"/>
              <w:left w:val="single" w:color="CCCCCC" w:sz="1"/>
              <w:bottom w:val="single" w:color="CCCCCC" w:sz="1"/>
              <w:right w:val="single" w:color="CCCCCC" w:sz="1"/>
            </w:tcBorders>
          </w:tcPr>
          <w:p>
            <w:r>
              <w:t xml:space="preserve">Databricks Serverless to PRO</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HIPAA compliance</w:t>
            </w:r>
          </w:p>
        </w:tc>
      </w:tr>
      <w:tr>
        <w:tc>
          <w:tcPr>
            <w:tcW w:type="dxa" w:w="600"/>
            <w:tcBorders>
              <w:top w:val="single" w:color="CCCCCC" w:sz="1"/>
              <w:left w:val="single" w:color="CCCCCC" w:sz="1"/>
              <w:bottom w:val="single" w:color="CCCCCC" w:sz="1"/>
              <w:right w:val="single" w:color="CCCCCC" w:sz="1"/>
            </w:tcBorders>
          </w:tcPr>
          <w:p>
            <w:r>
              <w:t xml:space="preserve">9</w:t>
            </w:r>
          </w:p>
        </w:tc>
        <w:tc>
          <w:tcPr>
            <w:tcW w:type="dxa" w:w="4000"/>
            <w:tcBorders>
              <w:top w:val="single" w:color="CCCCCC" w:sz="1"/>
              <w:left w:val="single" w:color="CCCCCC" w:sz="1"/>
              <w:bottom w:val="single" w:color="CCCCCC" w:sz="1"/>
              <w:right w:val="single" w:color="CCCCCC" w:sz="1"/>
            </w:tcBorders>
          </w:tcPr>
          <w:p>
            <w:r>
              <w:t xml:space="preserve">Databricks Service Account</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Service principal automation</w:t>
            </w:r>
          </w:p>
        </w:tc>
      </w:tr>
      <w:tr>
        <w:tc>
          <w:tcPr>
            <w:tcW w:type="dxa" w:w="600"/>
            <w:tcBorders>
              <w:top w:val="single" w:color="CCCCCC" w:sz="1"/>
              <w:left w:val="single" w:color="CCCCCC" w:sz="1"/>
              <w:bottom w:val="single" w:color="CCCCCC" w:sz="1"/>
              <w:right w:val="single" w:color="CCCCCC" w:sz="1"/>
            </w:tcBorders>
          </w:tcPr>
          <w:p>
            <w:r>
              <w:t xml:space="preserve">10</w:t>
            </w:r>
          </w:p>
        </w:tc>
        <w:tc>
          <w:tcPr>
            <w:tcW w:type="dxa" w:w="4000"/>
            <w:tcBorders>
              <w:top w:val="single" w:color="CCCCCC" w:sz="1"/>
              <w:left w:val="single" w:color="CCCCCC" w:sz="1"/>
              <w:bottom w:val="single" w:color="CCCCCC" w:sz="1"/>
              <w:right w:val="single" w:color="CCCCCC" w:sz="1"/>
            </w:tcBorders>
          </w:tcPr>
          <w:p>
            <w:r>
              <w:t xml:space="preserve">HTML Status Page Migration</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Cloud modernization</w:t>
            </w:r>
          </w:p>
        </w:tc>
      </w:tr>
      <w:tr>
        <w:tc>
          <w:tcPr>
            <w:tcW w:type="dxa" w:w="600"/>
            <w:tcBorders>
              <w:top w:val="single" w:color="CCCCCC" w:sz="1"/>
              <w:left w:val="single" w:color="CCCCCC" w:sz="1"/>
              <w:bottom w:val="single" w:color="CCCCCC" w:sz="1"/>
              <w:right w:val="single" w:color="CCCCCC" w:sz="1"/>
            </w:tcBorders>
          </w:tcPr>
          <w:p>
            <w:r>
              <w:t xml:space="preserve">11</w:t>
            </w:r>
          </w:p>
        </w:tc>
        <w:tc>
          <w:tcPr>
            <w:tcW w:type="dxa" w:w="4000"/>
            <w:tcBorders>
              <w:top w:val="single" w:color="CCCCCC" w:sz="1"/>
              <w:left w:val="single" w:color="CCCCCC" w:sz="1"/>
              <w:bottom w:val="single" w:color="CCCCCC" w:sz="1"/>
              <w:right w:val="single" w:color="CCCCCC" w:sz="1"/>
            </w:tcBorders>
          </w:tcPr>
          <w:p>
            <w:r>
              <w:t xml:space="preserve">Datadog Monitoring</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24/7 monitoring</w:t>
            </w:r>
          </w:p>
        </w:tc>
      </w:tr>
      <w:tr>
        <w:tc>
          <w:tcPr>
            <w:tcW w:type="dxa" w:w="600"/>
            <w:tcBorders>
              <w:top w:val="single" w:color="CCCCCC" w:sz="1"/>
              <w:left w:val="single" w:color="CCCCCC" w:sz="1"/>
              <w:bottom w:val="single" w:color="CCCCCC" w:sz="1"/>
              <w:right w:val="single" w:color="CCCCCC" w:sz="1"/>
            </w:tcBorders>
          </w:tcPr>
          <w:p>
            <w:r>
              <w:t xml:space="preserve">12</w:t>
            </w:r>
          </w:p>
        </w:tc>
        <w:tc>
          <w:tcPr>
            <w:tcW w:type="dxa" w:w="4000"/>
            <w:tcBorders>
              <w:top w:val="single" w:color="CCCCCC" w:sz="1"/>
              <w:left w:val="single" w:color="CCCCCC" w:sz="1"/>
              <w:bottom w:val="single" w:color="CCCCCC" w:sz="1"/>
              <w:right w:val="single" w:color="CCCCCC" w:sz="1"/>
            </w:tcBorders>
          </w:tcPr>
          <w:p>
            <w:r>
              <w:t xml:space="preserve">SQL Database Daily Monitor</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Automated daily alerts</w:t>
            </w:r>
          </w:p>
        </w:tc>
      </w:tr>
      <w:tr>
        <w:tc>
          <w:tcPr>
            <w:tcW w:type="dxa" w:w="600"/>
            <w:tcBorders>
              <w:top w:val="single" w:color="CCCCCC" w:sz="1"/>
              <w:left w:val="single" w:color="CCCCCC" w:sz="1"/>
              <w:bottom w:val="single" w:color="CCCCCC" w:sz="1"/>
              <w:right w:val="single" w:color="CCCCCC" w:sz="1"/>
            </w:tcBorders>
          </w:tcPr>
          <w:p>
            <w:r>
              <w:t xml:space="preserve">13</w:t>
            </w:r>
          </w:p>
        </w:tc>
        <w:tc>
          <w:tcPr>
            <w:tcW w:type="dxa" w:w="4000"/>
            <w:tcBorders>
              <w:top w:val="single" w:color="CCCCCC" w:sz="1"/>
              <w:left w:val="single" w:color="CCCCCC" w:sz="1"/>
              <w:bottom w:val="single" w:color="CCCCCC" w:sz="1"/>
              <w:right w:val="single" w:color="CCCCCC" w:sz="1"/>
            </w:tcBorders>
          </w:tcPr>
          <w:p>
            <w:r>
              <w:t xml:space="preserve">PagerDuty Integration</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Incident management</w:t>
            </w:r>
          </w:p>
        </w:tc>
      </w:tr>
      <w:tr>
        <w:tc>
          <w:tcPr>
            <w:tcW w:type="dxa" w:w="600"/>
            <w:tcBorders>
              <w:top w:val="single" w:color="CCCCCC" w:sz="1"/>
              <w:left w:val="single" w:color="CCCCCC" w:sz="1"/>
              <w:bottom w:val="single" w:color="CCCCCC" w:sz="1"/>
              <w:right w:val="single" w:color="CCCCCC" w:sz="1"/>
            </w:tcBorders>
          </w:tcPr>
          <w:p>
            <w:r>
              <w:t xml:space="preserve">14</w:t>
            </w:r>
          </w:p>
        </w:tc>
        <w:tc>
          <w:tcPr>
            <w:tcW w:type="dxa" w:w="4000"/>
            <w:tcBorders>
              <w:top w:val="single" w:color="CCCCCC" w:sz="1"/>
              <w:left w:val="single" w:color="CCCCCC" w:sz="1"/>
              <w:bottom w:val="single" w:color="CCCCCC" w:sz="1"/>
              <w:right w:val="single" w:color="CCCCCC" w:sz="1"/>
            </w:tcBorders>
          </w:tcPr>
          <w:p>
            <w:r>
              <w:t xml:space="preserve">QA Call Recordings Storage</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Compliance</w:t>
            </w:r>
          </w:p>
        </w:tc>
      </w:tr>
      <w:tr>
        <w:tc>
          <w:tcPr>
            <w:tcW w:type="dxa" w:w="600"/>
            <w:tcBorders>
              <w:top w:val="single" w:color="CCCCCC" w:sz="1"/>
              <w:left w:val="single" w:color="CCCCCC" w:sz="1"/>
              <w:bottom w:val="single" w:color="CCCCCC" w:sz="1"/>
              <w:right w:val="single" w:color="CCCCCC" w:sz="1"/>
            </w:tcBorders>
          </w:tcPr>
          <w:p>
            <w:r>
              <w:t xml:space="preserve">15</w:t>
            </w:r>
          </w:p>
        </w:tc>
        <w:tc>
          <w:tcPr>
            <w:tcW w:type="dxa" w:w="4000"/>
            <w:tcBorders>
              <w:top w:val="single" w:color="CCCCCC" w:sz="1"/>
              <w:left w:val="single" w:color="CCCCCC" w:sz="1"/>
              <w:bottom w:val="single" w:color="CCCCCC" w:sz="1"/>
              <w:right w:val="single" w:color="CCCCCC" w:sz="1"/>
            </w:tcBorders>
          </w:tcPr>
          <w:p>
            <w:r>
              <w:t xml:space="preserve">URL Redirects</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Legacy migration</w:t>
            </w:r>
          </w:p>
        </w:tc>
      </w:tr>
      <w:tr>
        <w:tc>
          <w:tcPr>
            <w:tcW w:type="dxa" w:w="600"/>
            <w:tcBorders>
              <w:top w:val="single" w:color="CCCCCC" w:sz="1"/>
              <w:left w:val="single" w:color="CCCCCC" w:sz="1"/>
              <w:bottom w:val="single" w:color="CCCCCC" w:sz="1"/>
              <w:right w:val="single" w:color="CCCCCC" w:sz="1"/>
            </w:tcBorders>
          </w:tcPr>
          <w:p>
            <w:r>
              <w:t xml:space="preserve">16</w:t>
            </w:r>
          </w:p>
        </w:tc>
        <w:tc>
          <w:tcPr>
            <w:tcW w:type="dxa" w:w="4000"/>
            <w:tcBorders>
              <w:top w:val="single" w:color="CCCCCC" w:sz="1"/>
              <w:left w:val="single" w:color="CCCCCC" w:sz="1"/>
              <w:bottom w:val="single" w:color="CCCCCC" w:sz="1"/>
              <w:right w:val="single" w:color="CCCCCC" w:sz="1"/>
            </w:tcBorders>
          </w:tcPr>
          <w:p>
            <w:r>
              <w:t xml:space="preserve">M365 Password Policy</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271 users secured</w:t>
            </w:r>
          </w:p>
        </w:tc>
      </w:tr>
      <w:tr>
        <w:tc>
          <w:tcPr>
            <w:tcW w:type="dxa" w:w="600"/>
            <w:tcBorders>
              <w:top w:val="single" w:color="CCCCCC" w:sz="1"/>
              <w:left w:val="single" w:color="CCCCCC" w:sz="1"/>
              <w:bottom w:val="single" w:color="CCCCCC" w:sz="1"/>
              <w:right w:val="single" w:color="CCCCCC" w:sz="1"/>
            </w:tcBorders>
          </w:tcPr>
          <w:p>
            <w:r>
              <w:t xml:space="preserve">17</w:t>
            </w:r>
          </w:p>
        </w:tc>
        <w:tc>
          <w:tcPr>
            <w:tcW w:type="dxa" w:w="4000"/>
            <w:tcBorders>
              <w:top w:val="single" w:color="CCCCCC" w:sz="1"/>
              <w:left w:val="single" w:color="CCCCCC" w:sz="1"/>
              <w:bottom w:val="single" w:color="CCCCCC" w:sz="1"/>
              <w:right w:val="single" w:color="CCCCCC" w:sz="1"/>
            </w:tcBorders>
          </w:tcPr>
          <w:p>
            <w:r>
              <w:t xml:space="preserve">Databricks SQL Performance Optimization</w:t>
            </w:r>
          </w:p>
        </w:tc>
        <w:tc>
          <w:tcPr>
            <w:tcW w:type="dxa" w:w="1800"/>
            <w:tcBorders>
              <w:top w:val="single" w:color="CCCCCC" w:sz="1"/>
              <w:left w:val="single" w:color="CCCCCC" w:sz="1"/>
              <w:bottom w:val="single" w:color="CCCCCC" w:sz="1"/>
              <w:right w:val="single" w:color="CCCCCC" w:sz="1"/>
            </w:tcBorders>
            <w:shd w:fill="D1FAE5" w:val="clear"/>
          </w:tcPr>
          <w:p>
            <w:r>
              <w:rPr>
                <w:b/>
                <w:bCs/>
                <w:color w:val="059669"/>
              </w:rPr>
              <w:t xml:space="preserve">COMPLETE</w:t>
            </w:r>
          </w:p>
        </w:tc>
        <w:tc>
          <w:tcPr>
            <w:tcW w:type="dxa" w:w="2960"/>
            <w:tcBorders>
              <w:top w:val="single" w:color="CCCCCC" w:sz="1"/>
              <w:left w:val="single" w:color="CCCCCC" w:sz="1"/>
              <w:bottom w:val="single" w:color="CCCCCC" w:sz="1"/>
              <w:right w:val="single" w:color="CCCCCC" w:sz="1"/>
            </w:tcBorders>
          </w:tcPr>
          <w:p>
            <w:r>
              <w:t xml:space="preserve">Query optimization documentation</w:t>
            </w:r>
          </w:p>
        </w:tc>
      </w:tr>
      <w:tr>
        <w:tc>
          <w:tcPr>
            <w:tcW w:type="dxa" w:w="600"/>
            <w:tcBorders>
              <w:top w:val="single" w:color="CCCCCC" w:sz="1"/>
              <w:left w:val="single" w:color="CCCCCC" w:sz="1"/>
              <w:bottom w:val="single" w:color="CCCCCC" w:sz="1"/>
              <w:right w:val="single" w:color="CCCCCC" w:sz="1"/>
            </w:tcBorders>
          </w:tcPr>
          <w:p>
            <w:r>
              <w:t xml:space="preserve">18</w:t>
            </w:r>
          </w:p>
        </w:tc>
        <w:tc>
          <w:tcPr>
            <w:tcW w:type="dxa" w:w="4000"/>
            <w:tcBorders>
              <w:top w:val="single" w:color="CCCCCC" w:sz="1"/>
              <w:left w:val="single" w:color="CCCCCC" w:sz="1"/>
              <w:bottom w:val="single" w:color="CCCCCC" w:sz="1"/>
              <w:right w:val="single" w:color="CCCCCC" w:sz="1"/>
            </w:tcBorders>
          </w:tcPr>
          <w:p>
            <w:r>
              <w:t xml:space="preserve">AD Audit Remediation</w:t>
            </w:r>
          </w:p>
        </w:tc>
        <w:tc>
          <w:tcPr>
            <w:tcW w:type="dxa" w:w="1800"/>
            <w:tcBorders>
              <w:top w:val="single" w:color="CCCCCC" w:sz="1"/>
              <w:left w:val="single" w:color="CCCCCC" w:sz="1"/>
              <w:bottom w:val="single" w:color="CCCCCC" w:sz="1"/>
              <w:right w:val="single" w:color="CCCCCC" w:sz="1"/>
            </w:tcBorders>
            <w:shd w:fill="FEF3C7" w:val="clear"/>
          </w:tcPr>
          <w:p>
            <w:r>
              <w:rPr>
                <w:b/>
                <w:bCs/>
                <w:color w:val="D97706"/>
              </w:rPr>
              <w:t xml:space="preserve">IN PROGRESS</w:t>
            </w:r>
          </w:p>
        </w:tc>
        <w:tc>
          <w:tcPr>
            <w:tcW w:type="dxa" w:w="2960"/>
            <w:tcBorders>
              <w:top w:val="single" w:color="CCCCCC" w:sz="1"/>
              <w:left w:val="single" w:color="CCCCCC" w:sz="1"/>
              <w:bottom w:val="single" w:color="CCCCCC" w:sz="1"/>
              <w:right w:val="single" w:color="CCCCCC" w:sz="1"/>
            </w:tcBorders>
          </w:tcPr>
          <w:p>
            <w:r>
              <w:t xml:space="preserve">Fixing 155 security issues</w:t>
            </w:r>
          </w:p>
        </w:tc>
      </w:tr>
      <w:tr>
        <w:tc>
          <w:tcPr>
            <w:tcW w:type="dxa" w:w="600"/>
            <w:tcBorders>
              <w:top w:val="single" w:color="CCCCCC" w:sz="1"/>
              <w:left w:val="single" w:color="CCCCCC" w:sz="1"/>
              <w:bottom w:val="single" w:color="CCCCCC" w:sz="1"/>
              <w:right w:val="single" w:color="CCCCCC" w:sz="1"/>
            </w:tcBorders>
          </w:tcPr>
          <w:p>
            <w:r>
              <w:t xml:space="preserve">19</w:t>
            </w:r>
          </w:p>
        </w:tc>
        <w:tc>
          <w:tcPr>
            <w:tcW w:type="dxa" w:w="4000"/>
            <w:tcBorders>
              <w:top w:val="single" w:color="CCCCCC" w:sz="1"/>
              <w:left w:val="single" w:color="CCCCCC" w:sz="1"/>
              <w:bottom w:val="single" w:color="CCCCCC" w:sz="1"/>
              <w:right w:val="single" w:color="CCCCCC" w:sz="1"/>
            </w:tcBorders>
          </w:tcPr>
          <w:p>
            <w:r>
              <w:t xml:space="preserve">GODS Alerts Deployment</w:t>
            </w:r>
          </w:p>
        </w:tc>
        <w:tc>
          <w:tcPr>
            <w:tcW w:type="dxa" w:w="1800"/>
            <w:tcBorders>
              <w:top w:val="single" w:color="CCCCCC" w:sz="1"/>
              <w:left w:val="single" w:color="CCCCCC" w:sz="1"/>
              <w:bottom w:val="single" w:color="CCCCCC" w:sz="1"/>
              <w:right w:val="single" w:color="CCCCCC" w:sz="1"/>
            </w:tcBorders>
            <w:shd w:fill="FEF3C7" w:val="clear"/>
          </w:tcPr>
          <w:p>
            <w:r>
              <w:rPr>
                <w:b/>
                <w:bCs/>
                <w:color w:val="D97706"/>
              </w:rPr>
              <w:t xml:space="preserve">IN PROGRESS</w:t>
            </w:r>
          </w:p>
        </w:tc>
        <w:tc>
          <w:tcPr>
            <w:tcW w:type="dxa" w:w="2960"/>
            <w:tcBorders>
              <w:top w:val="single" w:color="CCCCCC" w:sz="1"/>
              <w:left w:val="single" w:color="CCCCCC" w:sz="1"/>
              <w:bottom w:val="single" w:color="CCCCCC" w:sz="1"/>
              <w:right w:val="single" w:color="CCCCCC" w:sz="1"/>
            </w:tcBorders>
          </w:tcPr>
          <w:p>
            <w:r>
              <w:t xml:space="preserve">Application monitoring</w:t>
            </w:r>
          </w:p>
        </w:tc>
      </w:tr>
      <w:tr>
        <w:tc>
          <w:tcPr>
            <w:tcW w:type="dxa" w:w="600"/>
            <w:tcBorders>
              <w:top w:val="single" w:color="CCCCCC" w:sz="1"/>
              <w:left w:val="single" w:color="CCCCCC" w:sz="1"/>
              <w:bottom w:val="single" w:color="CCCCCC" w:sz="1"/>
              <w:right w:val="single" w:color="CCCCCC" w:sz="1"/>
            </w:tcBorders>
          </w:tcPr>
          <w:p>
            <w:r>
              <w:t xml:space="preserve">20</w:t>
            </w:r>
          </w:p>
        </w:tc>
        <w:tc>
          <w:tcPr>
            <w:tcW w:type="dxa" w:w="4000"/>
            <w:tcBorders>
              <w:top w:val="single" w:color="CCCCCC" w:sz="1"/>
              <w:left w:val="single" w:color="CCCCCC" w:sz="1"/>
              <w:bottom w:val="single" w:color="CCCCCC" w:sz="1"/>
              <w:right w:val="single" w:color="CCCCCC" w:sz="1"/>
            </w:tcBorders>
          </w:tcPr>
          <w:p>
            <w:r>
              <w:t xml:space="preserve">DevOps VM Migration</w:t>
            </w:r>
          </w:p>
        </w:tc>
        <w:tc>
          <w:tcPr>
            <w:tcW w:type="dxa" w:w="1800"/>
            <w:tcBorders>
              <w:top w:val="single" w:color="CCCCCC" w:sz="1"/>
              <w:left w:val="single" w:color="CCCCCC" w:sz="1"/>
              <w:bottom w:val="single" w:color="CCCCCC" w:sz="1"/>
              <w:right w:val="single" w:color="CCCCCC" w:sz="1"/>
            </w:tcBorders>
            <w:shd w:fill="FEF3C7" w:val="clear"/>
          </w:tcPr>
          <w:p>
            <w:r>
              <w:rPr>
                <w:b/>
                <w:bCs/>
                <w:color w:val="D97706"/>
              </w:rPr>
              <w:t xml:space="preserve">IN PROGRESS</w:t>
            </w:r>
          </w:p>
        </w:tc>
        <w:tc>
          <w:tcPr>
            <w:tcW w:type="dxa" w:w="2960"/>
            <w:tcBorders>
              <w:top w:val="single" w:color="CCCCCC" w:sz="1"/>
              <w:left w:val="single" w:color="CCCCCC" w:sz="1"/>
              <w:bottom w:val="single" w:color="CCCCCC" w:sz="1"/>
              <w:right w:val="single" w:color="CCCCCC" w:sz="1"/>
            </w:tcBorders>
          </w:tcPr>
          <w:p>
            <w:r>
              <w:t xml:space="preserve">Infrastructure optimization</w:t>
            </w:r>
          </w:p>
        </w:tc>
      </w:tr>
      <w:tr>
        <w:tc>
          <w:tcPr>
            <w:tcW w:type="dxa" w:w="600"/>
            <w:tcBorders>
              <w:top w:val="single" w:color="CCCCCC" w:sz="1"/>
              <w:left w:val="single" w:color="CCCCCC" w:sz="1"/>
              <w:bottom w:val="single" w:color="CCCCCC" w:sz="1"/>
              <w:right w:val="single" w:color="CCCCCC" w:sz="1"/>
            </w:tcBorders>
          </w:tcPr>
          <w:p>
            <w:r>
              <w:t xml:space="preserve">21</w:t>
            </w:r>
          </w:p>
        </w:tc>
        <w:tc>
          <w:tcPr>
            <w:tcW w:type="dxa" w:w="4000"/>
            <w:tcBorders>
              <w:top w:val="single" w:color="CCCCCC" w:sz="1"/>
              <w:left w:val="single" w:color="CCCCCC" w:sz="1"/>
              <w:bottom w:val="single" w:color="CCCCCC" w:sz="1"/>
              <w:right w:val="single" w:color="CCCCCC" w:sz="1"/>
            </w:tcBorders>
          </w:tcPr>
          <w:p>
            <w:r>
              <w:t xml:space="preserve">MFA Enforcement</w:t>
            </w:r>
          </w:p>
        </w:tc>
        <w:tc>
          <w:tcPr>
            <w:tcW w:type="dxa" w:w="1800"/>
            <w:tcBorders>
              <w:top w:val="single" w:color="CCCCCC" w:sz="1"/>
              <w:left w:val="single" w:color="CCCCCC" w:sz="1"/>
              <w:bottom w:val="single" w:color="CCCCCC" w:sz="1"/>
              <w:right w:val="single" w:color="CCCCCC" w:sz="1"/>
            </w:tcBorders>
            <w:shd w:fill="FEF3C7" w:val="clear"/>
          </w:tcPr>
          <w:p>
            <w:r>
              <w:rPr>
                <w:b/>
                <w:bCs/>
                <w:color w:val="D97706"/>
              </w:rPr>
              <w:t xml:space="preserve">IN PROGRESS</w:t>
            </w:r>
          </w:p>
        </w:tc>
        <w:tc>
          <w:tcPr>
            <w:tcW w:type="dxa" w:w="2960"/>
            <w:tcBorders>
              <w:top w:val="single" w:color="CCCCCC" w:sz="1"/>
              <w:left w:val="single" w:color="CCCCCC" w:sz="1"/>
              <w:bottom w:val="single" w:color="CCCCCC" w:sz="1"/>
              <w:right w:val="single" w:color="CCCCCC" w:sz="1"/>
            </w:tcBorders>
          </w:tcPr>
          <w:p>
            <w:r>
              <w:t xml:space="preserve">Full tenant MFA coverage</w:t>
            </w:r>
          </w:p>
        </w:tc>
      </w:tr>
      <w:tr>
        <w:tc>
          <w:tcPr>
            <w:tcW w:type="dxa" w:w="600"/>
            <w:tcBorders>
              <w:top w:val="single" w:color="CCCCCC" w:sz="1"/>
              <w:left w:val="single" w:color="CCCCCC" w:sz="1"/>
              <w:bottom w:val="single" w:color="CCCCCC" w:sz="1"/>
              <w:right w:val="single" w:color="CCCCCC" w:sz="1"/>
            </w:tcBorders>
          </w:tcPr>
          <w:p>
            <w:r>
              <w:t xml:space="preserve">22</w:t>
            </w:r>
          </w:p>
        </w:tc>
        <w:tc>
          <w:tcPr>
            <w:tcW w:type="dxa" w:w="4000"/>
            <w:tcBorders>
              <w:top w:val="single" w:color="CCCCCC" w:sz="1"/>
              <w:left w:val="single" w:color="CCCCCC" w:sz="1"/>
              <w:bottom w:val="single" w:color="CCCCCC" w:sz="1"/>
              <w:right w:val="single" w:color="CCCCCC" w:sz="1"/>
            </w:tcBorders>
          </w:tcPr>
          <w:p>
            <w:r>
              <w:t xml:space="preserve">Intune Font Deployment</w:t>
            </w:r>
          </w:p>
        </w:tc>
        <w:tc>
          <w:tcPr>
            <w:tcW w:type="dxa" w:w="1800"/>
            <w:tcBorders>
              <w:top w:val="single" w:color="CCCCCC" w:sz="1"/>
              <w:left w:val="single" w:color="CCCCCC" w:sz="1"/>
              <w:bottom w:val="single" w:color="CCCCCC" w:sz="1"/>
              <w:right w:val="single" w:color="CCCCCC" w:sz="1"/>
            </w:tcBorders>
            <w:shd w:fill="FEF3C7" w:val="clear"/>
          </w:tcPr>
          <w:p>
            <w:r>
              <w:rPr>
                <w:b/>
                <w:bCs/>
                <w:color w:val="D97706"/>
              </w:rPr>
              <w:t xml:space="preserve">IN PROGRESS</w:t>
            </w:r>
          </w:p>
        </w:tc>
        <w:tc>
          <w:tcPr>
            <w:tcW w:type="dxa" w:w="2960"/>
            <w:tcBorders>
              <w:top w:val="single" w:color="CCCCCC" w:sz="1"/>
              <w:left w:val="single" w:color="CCCCCC" w:sz="1"/>
              <w:bottom w:val="single" w:color="CCCCCC" w:sz="1"/>
              <w:right w:val="single" w:color="CCCCCC" w:sz="1"/>
            </w:tcBorders>
          </w:tcPr>
          <w:p>
            <w:r>
              <w:t xml:space="preserve">Endpoint management</w:t>
            </w:r>
          </w:p>
        </w:tc>
      </w:tr>
    </w:tbl>
    <w:p>
      <w:r>
        <w:br w:type="page"/>
      </w:r>
    </w:p>
    <w:p>
      <w:pPr>
        <w:pStyle w:val="Heading1"/>
      </w:pPr>
      <w:r>
        <w:t xml:space="preserve">Table of Contents</w:t>
      </w:r>
    </w:p>
    <w:p>
      <w:pPr>
        <w:spacing w:before="180" w:after="60"/>
      </w:pPr>
      <w:r>
        <w:rPr>
          <w:b/>
          <w:bCs/>
        </w:rPr>
        <w:t xml:space="preserve">SECTION A: COST OPTIMIZATION</w:t>
      </w:r>
    </w:p>
    <w:p>
      <w:pPr>
        <w:pStyle w:val="ListParagraph"/>
        <w:numPr>
          <w:ilvl w:val="0"/>
          <w:numId w:val="2"/>
        </w:numPr>
      </w:pPr>
      <w:r>
        <w:t xml:space="preserve">1. Idle Resources Cleanup ($60K Savings)</w:t>
      </w:r>
    </w:p>
    <w:p>
      <w:pPr>
        <w:pStyle w:val="ListParagraph"/>
        <w:numPr>
          <w:ilvl w:val="0"/>
          <w:numId w:val="2"/>
        </w:numPr>
      </w:pPr>
      <w:r>
        <w:t xml:space="preserve">2. Azure SQL Cost Optimization ($59K Savings)</w:t>
      </w:r>
    </w:p>
    <w:p>
      <w:pPr>
        <w:pStyle w:val="ListParagraph"/>
        <w:numPr>
          <w:ilvl w:val="0"/>
          <w:numId w:val="2"/>
        </w:numPr>
      </w:pPr>
      <w:r>
        <w:t xml:space="preserve">3. Databricks Cost Analysis</w:t>
      </w:r>
    </w:p>
    <w:p>
      <w:pPr>
        <w:pStyle w:val="ListParagraph"/>
        <w:numPr>
          <w:ilvl w:val="0"/>
          <w:numId w:val="2"/>
        </w:numPr>
        <w:spacing w:after="120"/>
      </w:pPr>
      <w:r>
        <w:t xml:space="preserve">4. SQL DTU SmartFix + Outage Recovery ($3.7K Savings)</w:t>
      </w:r>
    </w:p>
    <w:p>
      <w:pPr>
        <w:spacing w:before="120" w:after="60"/>
      </w:pPr>
      <w:r>
        <w:rPr>
          <w:b/>
          <w:bCs/>
        </w:rPr>
        <w:t xml:space="preserve">SECTION B: SECURITY &amp; COMPLIANCE</w:t>
      </w:r>
    </w:p>
    <w:p>
      <w:pPr>
        <w:pStyle w:val="ListParagraph"/>
        <w:numPr>
          <w:ilvl w:val="0"/>
          <w:numId w:val="2"/>
        </w:numPr>
      </w:pPr>
      <w:r>
        <w:t xml:space="preserve">5. AD Security Audit (29 Critical + 126 High Issues)</w:t>
      </w:r>
    </w:p>
    <w:p>
      <w:pPr>
        <w:pStyle w:val="ListParagraph"/>
        <w:numPr>
          <w:ilvl w:val="0"/>
          <w:numId w:val="2"/>
        </w:numPr>
      </w:pPr>
      <w:r>
        <w:t xml:space="preserve">6. MOVEit Security Infrastructure</w:t>
      </w:r>
    </w:p>
    <w:p>
      <w:pPr>
        <w:pStyle w:val="ListParagraph"/>
        <w:numPr>
          <w:ilvl w:val="0"/>
          <w:numId w:val="2"/>
        </w:numPr>
        <w:spacing w:after="120"/>
      </w:pPr>
      <w:r>
        <w:t xml:space="preserve">7. Azure Bastion Deployment</w:t>
      </w:r>
    </w:p>
    <w:p>
      <w:pPr>
        <w:spacing w:before="120" w:after="60"/>
      </w:pPr>
      <w:r>
        <w:rPr>
          <w:b/>
          <w:bCs/>
        </w:rPr>
        <w:t xml:space="preserve">SECTION C: DATABRICKS</w:t>
      </w:r>
    </w:p>
    <w:p>
      <w:pPr>
        <w:pStyle w:val="ListParagraph"/>
        <w:numPr>
          <w:ilvl w:val="0"/>
          <w:numId w:val="2"/>
        </w:numPr>
      </w:pPr>
      <w:r>
        <w:t xml:space="preserve">8. Databricks Serverless to PRO Migration</w:t>
      </w:r>
    </w:p>
    <w:p>
      <w:pPr>
        <w:pStyle w:val="ListParagraph"/>
        <w:numPr>
          <w:ilvl w:val="0"/>
          <w:numId w:val="2"/>
        </w:numPr>
      </w:pPr>
      <w:r>
        <w:t xml:space="preserve">9. Databricks Service Account Setup</w:t>
      </w:r>
    </w:p>
    <w:p>
      <w:pPr>
        <w:pStyle w:val="ListParagraph"/>
        <w:numPr>
          <w:ilvl w:val="0"/>
          <w:numId w:val="2"/>
        </w:numPr>
        <w:spacing w:after="120"/>
      </w:pPr>
      <w:r>
        <w:t xml:space="preserve">10. Databricks SQL Performance Optimization</w:t>
      </w:r>
    </w:p>
    <w:p>
      <w:pPr>
        <w:spacing w:before="120" w:after="60"/>
      </w:pPr>
      <w:r>
        <w:rPr>
          <w:b/>
          <w:bCs/>
        </w:rPr>
        <w:t xml:space="preserve">SECTION D: MONITORING &amp; ALERTING</w:t>
      </w:r>
    </w:p>
    <w:p>
      <w:pPr>
        <w:pStyle w:val="ListParagraph"/>
        <w:numPr>
          <w:ilvl w:val="0"/>
          <w:numId w:val="2"/>
        </w:numPr>
      </w:pPr>
      <w:r>
        <w:t xml:space="preserve">11. Datadog Monitoring Deployment</w:t>
      </w:r>
    </w:p>
    <w:p>
      <w:pPr>
        <w:pStyle w:val="ListParagraph"/>
        <w:numPr>
          <w:ilvl w:val="0"/>
          <w:numId w:val="2"/>
        </w:numPr>
      </w:pPr>
      <w:r>
        <w:t xml:space="preserve">12. SQL Database Daily Monitor</w:t>
      </w:r>
    </w:p>
    <w:p>
      <w:pPr>
        <w:pStyle w:val="ListParagraph"/>
        <w:numPr>
          <w:ilvl w:val="0"/>
          <w:numId w:val="2"/>
        </w:numPr>
        <w:spacing w:after="120"/>
      </w:pPr>
      <w:r>
        <w:t xml:space="preserve">13. PagerDuty Integration</w:t>
      </w:r>
    </w:p>
    <w:p>
      <w:pPr>
        <w:spacing w:before="120" w:after="60"/>
      </w:pPr>
      <w:r>
        <w:rPr>
          <w:b/>
          <w:bCs/>
        </w:rPr>
        <w:t xml:space="preserve">SECTION E: IN PROGRESS PROJECTS</w:t>
      </w:r>
    </w:p>
    <w:p>
      <w:pPr>
        <w:pStyle w:val="ListParagraph"/>
        <w:numPr>
          <w:ilvl w:val="0"/>
          <w:numId w:val="2"/>
        </w:numPr>
      </w:pPr>
      <w:r>
        <w:t xml:space="preserve">14. AD Audit Remediation (155 Issues)</w:t>
      </w:r>
    </w:p>
    <w:p>
      <w:pPr>
        <w:pStyle w:val="ListParagraph"/>
        <w:numPr>
          <w:ilvl w:val="0"/>
          <w:numId w:val="2"/>
        </w:numPr>
      </w:pPr>
      <w:r>
        <w:t xml:space="preserve">15. GODS Alerts Setup</w:t>
      </w:r>
    </w:p>
    <w:p>
      <w:pPr>
        <w:pStyle w:val="ListParagraph"/>
        <w:numPr>
          <w:ilvl w:val="0"/>
          <w:numId w:val="2"/>
        </w:numPr>
      </w:pPr>
      <w:r>
        <w:t xml:space="preserve">16. DevOps VM Migration</w:t>
      </w:r>
    </w:p>
    <w:p>
      <w:pPr>
        <w:pStyle w:val="ListParagraph"/>
        <w:numPr>
          <w:ilvl w:val="0"/>
          <w:numId w:val="2"/>
        </w:numPr>
      </w:pPr>
      <w:r>
        <w:t xml:space="preserve">17. MFA Enforcement</w:t>
      </w:r>
    </w:p>
    <w:p>
      <w:pPr>
        <w:pStyle w:val="ListParagraph"/>
        <w:numPr>
          <w:ilvl w:val="0"/>
          <w:numId w:val="2"/>
        </w:numPr>
      </w:pPr>
      <w:r>
        <w:t xml:space="preserve">18. Intune Font Deployment</w:t>
      </w:r>
    </w:p>
    <w:p>
      <w:r>
        <w:br w:type="page"/>
      </w:r>
    </w:p>
    <w:p>
      <w:pPr>
        <w:pStyle w:val="Heading1"/>
      </w:pPr>
      <w:r>
        <w:t xml:space="preserve">5. AD Security Audit</w:t>
      </w:r>
    </w:p>
    <w:p>
      <w:pPr>
        <w:spacing w:after="180"/>
      </w:pPr>
      <w:r>
        <w:rPr>
          <w:b/>
          <w:bCs/>
          <w:color w:val="DC2626"/>
        </w:rPr>
        <w:t xml:space="preserve">SECURITY IMPACT: 29 Critical Issues + 126 High Priority Issues Identified</w:t>
      </w:r>
    </w:p>
    <w:p>
      <w:pPr>
        <w:pStyle w:val="Heading2"/>
      </w:pPr>
      <w:r>
        <w:t xml:space="preserve">5.1 Purpose</w:t>
      </w:r>
    </w:p>
    <w:p>
      <w:pPr>
        <w:spacing w:after="180"/>
      </w:pPr>
      <w:r>
        <w:t xml:space="preserve">Comprehensive Active Directory security audit across all Azure subscriptions to identify critical security vulnerabilities, weak password policies, excessive privileges, and configuration issues that expose the organization to security risks.</w:t>
      </w:r>
    </w:p>
    <w:p>
      <w:pPr>
        <w:pStyle w:val="Heading2"/>
      </w:pPr>
      <w:r>
        <w:t xml:space="preserve">5.2 Critical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C2626" w:val="clear"/>
          </w:tcPr>
          <w:p>
            <w:r>
              <w:rPr>
                <w:b/>
                <w:bCs/>
                <w:color w:val="FFFFFF"/>
              </w:rPr>
              <w:t xml:space="preserve">Severity</w:t>
            </w:r>
          </w:p>
        </w:tc>
        <w:tc>
          <w:tcPr>
            <w:tcW w:type="dxa" w:w="1800"/>
            <w:tcBorders>
              <w:top w:val="single" w:color="CCCCCC" w:sz="1"/>
              <w:left w:val="single" w:color="CCCCCC" w:sz="1"/>
              <w:bottom w:val="single" w:color="CCCCCC" w:sz="1"/>
              <w:right w:val="single" w:color="CCCCCC" w:sz="1"/>
            </w:tcBorders>
            <w:shd w:fill="DC2626" w:val="clear"/>
          </w:tcPr>
          <w:p>
            <w:r>
              <w:rPr>
                <w:b/>
                <w:bCs/>
                <w:color w:val="FFFFFF"/>
              </w:rPr>
              <w:t xml:space="preserve">Count</w:t>
            </w:r>
          </w:p>
        </w:tc>
        <w:tc>
          <w:tcPr>
            <w:tcW w:type="dxa" w:w="4760"/>
            <w:tcBorders>
              <w:top w:val="single" w:color="CCCCCC" w:sz="1"/>
              <w:left w:val="single" w:color="CCCCCC" w:sz="1"/>
              <w:bottom w:val="single" w:color="CCCCCC" w:sz="1"/>
              <w:right w:val="single" w:color="CCCCCC" w:sz="1"/>
            </w:tcBorders>
            <w:shd w:fill="DC2626" w:val="cle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FEE2E2" w:val="clear"/>
          </w:tcPr>
          <w:p>
            <w:r>
              <w:rPr>
                <w:b/>
                <w:bCs/>
                <w:color w:val="DC2626"/>
              </w:rPr>
              <w:t xml:space="preserve">CRITICAL</w:t>
            </w:r>
          </w:p>
        </w:tc>
        <w:tc>
          <w:tcPr>
            <w:tcW w:type="dxa" w:w="1800"/>
            <w:tcBorders>
              <w:top w:val="single" w:color="CCCCCC" w:sz="1"/>
              <w:left w:val="single" w:color="CCCCCC" w:sz="1"/>
              <w:bottom w:val="single" w:color="CCCCCC" w:sz="1"/>
              <w:right w:val="single" w:color="CCCCCC" w:sz="1"/>
            </w:tcBorders>
            <w:shd w:fill="FEE2E2" w:val="clear"/>
          </w:tcPr>
          <w:p>
            <w:r>
              <w:rPr>
                <w:b/>
                <w:bCs/>
              </w:rPr>
              <w:t xml:space="preserve">29</w:t>
            </w:r>
          </w:p>
        </w:tc>
        <w:tc>
          <w:tcPr>
            <w:tcW w:type="dxa" w:w="4760"/>
            <w:tcBorders>
              <w:top w:val="single" w:color="CCCCCC" w:sz="1"/>
              <w:left w:val="single" w:color="CCCCCC" w:sz="1"/>
              <w:bottom w:val="single" w:color="CCCCCC" w:sz="1"/>
              <w:right w:val="single" w:color="CCCCCC" w:sz="1"/>
            </w:tcBorders>
            <w:shd w:fill="FEE2E2" w:val="clear"/>
          </w:tcPr>
          <w:p>
            <w:r>
              <w:t xml:space="preserve">Immediate security risks requiring urgent remediation</w:t>
            </w:r>
          </w:p>
        </w:tc>
      </w:tr>
      <w:tr>
        <w:tc>
          <w:tcPr>
            <w:tcW w:type="dxa" w:w="2800"/>
            <w:tcBorders>
              <w:top w:val="single" w:color="CCCCCC" w:sz="1"/>
              <w:left w:val="single" w:color="CCCCCC" w:sz="1"/>
              <w:bottom w:val="single" w:color="CCCCCC" w:sz="1"/>
              <w:right w:val="single" w:color="CCCCCC" w:sz="1"/>
            </w:tcBorders>
            <w:shd w:fill="FEF3C7" w:val="clear"/>
          </w:tcPr>
          <w:p>
            <w:r>
              <w:rPr>
                <w:b/>
                <w:bCs/>
                <w:color w:val="D97706"/>
              </w:rPr>
              <w:t xml:space="preserve">HIGH</w:t>
            </w:r>
          </w:p>
        </w:tc>
        <w:tc>
          <w:tcPr>
            <w:tcW w:type="dxa" w:w="1800"/>
            <w:tcBorders>
              <w:top w:val="single" w:color="CCCCCC" w:sz="1"/>
              <w:left w:val="single" w:color="CCCCCC" w:sz="1"/>
              <w:bottom w:val="single" w:color="CCCCCC" w:sz="1"/>
              <w:right w:val="single" w:color="CCCCCC" w:sz="1"/>
            </w:tcBorders>
            <w:shd w:fill="FEF3C7" w:val="clear"/>
          </w:tcPr>
          <w:p>
            <w:r>
              <w:rPr>
                <w:b/>
                <w:bCs/>
              </w:rPr>
              <w:t xml:space="preserve">126</w:t>
            </w:r>
          </w:p>
        </w:tc>
        <w:tc>
          <w:tcPr>
            <w:tcW w:type="dxa" w:w="4760"/>
            <w:tcBorders>
              <w:top w:val="single" w:color="CCCCCC" w:sz="1"/>
              <w:left w:val="single" w:color="CCCCCC" w:sz="1"/>
              <w:bottom w:val="single" w:color="CCCCCC" w:sz="1"/>
              <w:right w:val="single" w:color="CCCCCC" w:sz="1"/>
            </w:tcBorders>
            <w:shd w:fill="FEF3C7" w:val="clear"/>
          </w:tcPr>
          <w:p>
            <w:r>
              <w:t xml:space="preserve">Security issues requiring attention within 1 week</w:t>
            </w:r>
          </w:p>
        </w:tc>
      </w:tr>
      <w:tr>
        <w:tc>
          <w:tcPr>
            <w:tcW w:type="dxa" w:w="2800"/>
            <w:tcBorders>
              <w:top w:val="single" w:color="CCCCCC" w:sz="1"/>
              <w:left w:val="single" w:color="CCCCCC" w:sz="1"/>
              <w:bottom w:val="single" w:color="CCCCCC" w:sz="1"/>
              <w:right w:val="single" w:color="CCCCCC" w:sz="1"/>
            </w:tcBorders>
          </w:tcPr>
          <w:p>
            <w:r>
              <w:rPr>
                <w:b/>
                <w:bCs/>
              </w:rPr>
              <w:t xml:space="preserve">MEDIUM</w:t>
            </w:r>
          </w:p>
        </w:tc>
        <w:tc>
          <w:tcPr>
            <w:tcW w:type="dxa" w:w="1800"/>
            <w:tcBorders>
              <w:top w:val="single" w:color="CCCCCC" w:sz="1"/>
              <w:left w:val="single" w:color="CCCCCC" w:sz="1"/>
              <w:bottom w:val="single" w:color="CCCCCC" w:sz="1"/>
              <w:right w:val="single" w:color="CCCCCC" w:sz="1"/>
            </w:tcBorders>
          </w:tcPr>
          <w:p>
            <w:r>
              <w:t xml:space="preserve">34</w:t>
            </w:r>
          </w:p>
        </w:tc>
        <w:tc>
          <w:tcPr>
            <w:tcW w:type="dxa" w:w="4760"/>
            <w:tcBorders>
              <w:top w:val="single" w:color="CCCCCC" w:sz="1"/>
              <w:left w:val="single" w:color="CCCCCC" w:sz="1"/>
              <w:bottom w:val="single" w:color="CCCCCC" w:sz="1"/>
              <w:right w:val="single" w:color="CCCCCC" w:sz="1"/>
            </w:tcBorders>
          </w:tcPr>
          <w:p>
            <w:r>
              <w:t xml:space="preserve">Configuration improvements needed within 1 month</w:t>
            </w:r>
          </w:p>
        </w:tc>
      </w:tr>
      <w:tr>
        <w:tc>
          <w:tcPr>
            <w:tcW w:type="dxa" w:w="2800"/>
            <w:tcBorders>
              <w:top w:val="single" w:color="CCCCCC" w:sz="1"/>
              <w:left w:val="single" w:color="CCCCCC" w:sz="1"/>
              <w:bottom w:val="single" w:color="CCCCCC" w:sz="1"/>
              <w:right w:val="single" w:color="CCCCCC" w:sz="1"/>
            </w:tcBorders>
          </w:tcPr>
          <w:p>
            <w:r>
              <w:rPr>
                <w:b/>
                <w:bCs/>
              </w:rPr>
              <w:t xml:space="preserve">LOW</w:t>
            </w:r>
          </w:p>
        </w:tc>
        <w:tc>
          <w:tcPr>
            <w:tcW w:type="dxa" w:w="1800"/>
            <w:tcBorders>
              <w:top w:val="single" w:color="CCCCCC" w:sz="1"/>
              <w:left w:val="single" w:color="CCCCCC" w:sz="1"/>
              <w:bottom w:val="single" w:color="CCCCCC" w:sz="1"/>
              <w:right w:val="single" w:color="CCCCCC" w:sz="1"/>
            </w:tcBorders>
          </w:tcPr>
          <w:p>
            <w:r>
              <w:t xml:space="preserve">18</w:t>
            </w:r>
          </w:p>
        </w:tc>
        <w:tc>
          <w:tcPr>
            <w:tcW w:type="dxa" w:w="4760"/>
            <w:tcBorders>
              <w:top w:val="single" w:color="CCCCCC" w:sz="1"/>
              <w:left w:val="single" w:color="CCCCCC" w:sz="1"/>
              <w:bottom w:val="single" w:color="CCCCCC" w:sz="1"/>
              <w:right w:val="single" w:color="CCCCCC" w:sz="1"/>
            </w:tcBorders>
          </w:tcPr>
          <w:p>
            <w:r>
              <w:t xml:space="preserve">Best practice improvements for maintenance windows</w:t>
            </w:r>
          </w:p>
        </w:tc>
      </w:tr>
      <w:tr>
        <w:tc>
          <w:tcPr>
            <w:tcW w:type="dxa" w:w="2800"/>
            <w:tcBorders>
              <w:top w:val="single" w:color="CCCCCC" w:sz="1"/>
              <w:left w:val="single" w:color="CCCCCC" w:sz="1"/>
              <w:bottom w:val="single" w:color="CCCCCC" w:sz="1"/>
              <w:right w:val="single" w:color="CCCCCC" w:sz="1"/>
            </w:tcBorders>
            <w:shd w:fill="E0E7FF" w:val="clear"/>
          </w:tcPr>
          <w:p>
            <w:r>
              <w:rPr>
                <w:b/>
                <w:bCs/>
              </w:rPr>
              <w:t xml:space="preserve">TOTAL ISSUES</w:t>
            </w:r>
          </w:p>
        </w:tc>
        <w:tc>
          <w:tcPr>
            <w:tcW w:type="dxa" w:w="1800"/>
            <w:tcBorders>
              <w:top w:val="single" w:color="CCCCCC" w:sz="1"/>
              <w:left w:val="single" w:color="CCCCCC" w:sz="1"/>
              <w:bottom w:val="single" w:color="CCCCCC" w:sz="1"/>
              <w:right w:val="single" w:color="CCCCCC" w:sz="1"/>
            </w:tcBorders>
            <w:shd w:fill="E0E7FF" w:val="clear"/>
          </w:tcPr>
          <w:p>
            <w:r>
              <w:rPr>
                <w:b/>
                <w:bCs/>
              </w:rPr>
              <w:t xml:space="preserve">207</w:t>
            </w:r>
          </w:p>
        </w:tc>
        <w:tc>
          <w:tcPr>
            <w:tcW w:type="dxa" w:w="4760"/>
            <w:tcBorders>
              <w:top w:val="single" w:color="CCCCCC" w:sz="1"/>
              <w:left w:val="single" w:color="CCCCCC" w:sz="1"/>
              <w:bottom w:val="single" w:color="CCCCCC" w:sz="1"/>
              <w:right w:val="single" w:color="CCCCCC" w:sz="1"/>
            </w:tcBorders>
            <w:shd w:fill="E0E7FF" w:val="clear"/>
          </w:tcPr>
          <w:p>
            <w:r>
              <w:rPr>
                <w:b/>
                <w:bCs/>
              </w:rPr>
              <w:t xml:space="preserve">Comprehensive security audit findings</w:t>
            </w:r>
          </w:p>
        </w:tc>
      </w:tr>
    </w:tbl>
    <w:p>
      <w:pPr>
        <w:spacing w:before="240" w:after="180"/>
      </w:pPr>
    </w:p>
    <w:p>
      <w:pPr>
        <w:pStyle w:val="Heading2"/>
      </w:pPr>
      <w:r>
        <w:t xml:space="preserve">5.3 Critical Issues Breakdown</w:t>
      </w:r>
    </w:p>
    <w:p>
      <w:pPr>
        <w:pStyle w:val="Heading3"/>
      </w:pPr>
      <w:r>
        <w:t xml:space="preserve">Password Policy Violations (12 Critical)</w:t>
      </w:r>
    </w:p>
    <w:p>
      <w:pPr>
        <w:pStyle w:val="ListParagraph"/>
        <w:numPr>
          <w:ilvl w:val="0"/>
          <w:numId w:val="2"/>
        </w:numPr>
      </w:pPr>
      <w:r>
        <w:t xml:space="preserve">8 users with passwords never expire</w:t>
      </w:r>
    </w:p>
    <w:p>
      <w:pPr>
        <w:pStyle w:val="ListParagraph"/>
        <w:numPr>
          <w:ilvl w:val="0"/>
          <w:numId w:val="2"/>
        </w:numPr>
      </w:pPr>
      <w:r>
        <w:t xml:space="preserve">3 users with no password required</w:t>
      </w:r>
    </w:p>
    <w:p>
      <w:pPr>
        <w:pStyle w:val="ListParagraph"/>
        <w:numPr>
          <w:ilvl w:val="0"/>
          <w:numId w:val="2"/>
        </w:numPr>
        <w:spacing w:after="120"/>
      </w:pPr>
      <w:r>
        <w:t xml:space="preserve">1 account with reversible encryption enabled</w:t>
      </w:r>
    </w:p>
    <w:p>
      <w:pPr>
        <w:pStyle w:val="Heading3"/>
      </w:pPr>
      <w:r>
        <w:t xml:space="preserve">Privileged Access Issues (9 Critical)</w:t>
      </w:r>
    </w:p>
    <w:p>
      <w:pPr>
        <w:pStyle w:val="ListParagraph"/>
        <w:numPr>
          <w:ilvl w:val="0"/>
          <w:numId w:val="2"/>
        </w:numPr>
      </w:pPr>
      <w:r>
        <w:t xml:space="preserve">5 service accounts with Domain Admin privileges</w:t>
      </w:r>
    </w:p>
    <w:p>
      <w:pPr>
        <w:pStyle w:val="ListParagraph"/>
        <w:numPr>
          <w:ilvl w:val="0"/>
          <w:numId w:val="2"/>
        </w:numPr>
        <w:spacing w:after="120"/>
      </w:pPr>
      <w:r>
        <w:t xml:space="preserve">4 inactive users still in privileged groups</w:t>
      </w:r>
    </w:p>
    <w:p>
      <w:pPr>
        <w:pStyle w:val="Heading3"/>
      </w:pPr>
      <w:r>
        <w:t xml:space="preserve">Network Security Issues (8 Critical)</w:t>
      </w:r>
    </w:p>
    <w:p>
      <w:pPr>
        <w:pStyle w:val="ListParagraph"/>
        <w:numPr>
          <w:ilvl w:val="0"/>
          <w:numId w:val="2"/>
        </w:numPr>
      </w:pPr>
      <w:r>
        <w:t xml:space="preserve">2 Domain Controllers with public IP addresses</w:t>
      </w:r>
    </w:p>
    <w:p>
      <w:pPr>
        <w:pStyle w:val="ListParagraph"/>
        <w:numPr>
          <w:ilvl w:val="0"/>
          <w:numId w:val="2"/>
        </w:numPr>
        <w:spacing w:after="180"/>
      </w:pPr>
      <w:r>
        <w:t xml:space="preserve">6 NSG rules allowing RDP from 0.0.0.0/0</w:t>
      </w:r>
    </w:p>
    <w:p>
      <w:pPr>
        <w:pStyle w:val="Heading2"/>
      </w:pPr>
      <w:r>
        <w:t xml:space="preserve">5.4 Audit Scope</w:t>
      </w:r>
    </w:p>
    <w:p>
      <w:pPr>
        <w:pStyle w:val="ListParagraph"/>
        <w:numPr>
          <w:ilvl w:val="0"/>
          <w:numId w:val="2"/>
        </w:numPr>
      </w:pPr>
      <w:r>
        <w:t xml:space="preserve">13 Azure subscriptions scanned</w:t>
      </w:r>
    </w:p>
    <w:p>
      <w:pPr>
        <w:pStyle w:val="ListParagraph"/>
        <w:numPr>
          <w:ilvl w:val="0"/>
          <w:numId w:val="2"/>
        </w:numPr>
      </w:pPr>
      <w:r>
        <w:t xml:space="preserve">4 Active Directory domains audited</w:t>
      </w:r>
    </w:p>
    <w:p>
      <w:pPr>
        <w:pStyle w:val="ListParagraph"/>
        <w:numPr>
          <w:ilvl w:val="0"/>
          <w:numId w:val="2"/>
        </w:numPr>
      </w:pPr>
      <w:r>
        <w:t xml:space="preserve">867 user accounts analyzed</w:t>
      </w:r>
    </w:p>
    <w:p>
      <w:pPr>
        <w:pStyle w:val="ListParagraph"/>
        <w:numPr>
          <w:ilvl w:val="0"/>
          <w:numId w:val="2"/>
        </w:numPr>
      </w:pPr>
      <w:r>
        <w:t xml:space="preserve">142 security groups reviewed</w:t>
      </w:r>
    </w:p>
    <w:p>
      <w:pPr>
        <w:pStyle w:val="ListParagraph"/>
        <w:numPr>
          <w:ilvl w:val="0"/>
          <w:numId w:val="2"/>
        </w:numPr>
      </w:pPr>
      <w:r>
        <w:t xml:space="preserve">23 Group Policy Objects evaluated</w:t>
      </w:r>
    </w:p>
    <w:p>
      <w:pPr>
        <w:pStyle w:val="ListParagraph"/>
        <w:numPr>
          <w:ilvl w:val="0"/>
          <w:numId w:val="2"/>
        </w:numPr>
        <w:spacing w:after="180"/>
      </w:pPr>
      <w:r>
        <w:t xml:space="preserve">4 Domain Controllers network configuration analyzed</w:t>
      </w:r>
    </w:p>
    <w:p>
      <w:pPr>
        <w:pStyle w:val="Heading2"/>
      </w:pPr>
      <w:r>
        <w:t xml:space="preserve">5.5 Scripts Delivered</w:t>
      </w:r>
    </w:p>
    <w:p>
      <w:pPr>
        <w:pStyle w:val="ListParagraph"/>
        <w:numPr>
          <w:ilvl w:val="0"/>
          <w:numId w:val="2"/>
        </w:numPr>
      </w:pPr>
      <w:r>
        <w:t xml:space="preserve">AD-SECURITY-AUDIT-ULTIMATE.ps1 (1,120 lines) - Complete audit script</w:t>
      </w:r>
    </w:p>
    <w:p>
      <w:pPr>
        <w:pStyle w:val="ListParagraph"/>
        <w:numPr>
          <w:ilvl w:val="0"/>
          <w:numId w:val="2"/>
        </w:numPr>
      </w:pPr>
      <w:r>
        <w:t xml:space="preserve">RUN-ON-DC-SIMPLE.ps1 - Simplified on-premises DC execution</w:t>
      </w:r>
    </w:p>
    <w:p>
      <w:pPr>
        <w:pStyle w:val="ListParagraph"/>
        <w:numPr>
          <w:ilvl w:val="0"/>
          <w:numId w:val="2"/>
        </w:numPr>
      </w:pPr>
      <w:r>
        <w:t xml:space="preserve">HTML Report Generator - Professional security report with color-coded findings</w:t>
      </w:r>
    </w:p>
    <w:p>
      <w:pPr>
        <w:pStyle w:val="ListParagraph"/>
        <w:numPr>
          <w:ilvl w:val="0"/>
          <w:numId w:val="2"/>
        </w:numPr>
        <w:spacing w:after="180"/>
      </w:pPr>
      <w:r>
        <w:t xml:space="preserve">Remediation Scripts - Automated fixes for common issues</w:t>
      </w:r>
    </w:p>
    <w:p>
      <w:pPr>
        <w:pStyle w:val="Heading2"/>
      </w:pPr>
      <w:r>
        <w:t xml:space="preserve">5.6 Next Steps</w:t>
      </w:r>
    </w:p>
    <w:p>
      <w:pPr>
        <w:spacing w:after="240"/>
      </w:pPr>
      <w:r>
        <w:t xml:space="preserve">Project 18 (IN PROGRESS): AD Audit Remediation - Systematic remediation of all 155 security issues found during the audit, prioritized by severity level.</w:t>
      </w:r>
    </w:p>
    <w:p>
      <w:r>
        <w:br w:type="page"/>
      </w:r>
    </w:p>
    <w:p>
      <w:pPr>
        <w:pStyle w:val="Heading1"/>
      </w:pPr>
      <w:r>
        <w:t xml:space="preserve">3. Databricks Cost Analysis</w:t>
      </w:r>
    </w:p>
    <w:p>
      <w:pPr>
        <w:spacing w:after="180"/>
      </w:pPr>
      <w:r>
        <w:rPr>
          <w:b/>
          <w:bCs/>
          <w:color w:val="2E75B6"/>
        </w:rPr>
        <w:t xml:space="preserve">COMPLETE COST VISIBILITY: Min/Max Scenarios + SQL Performance Analysis</w:t>
      </w:r>
    </w:p>
    <w:p>
      <w:pPr>
        <w:pStyle w:val="Heading2"/>
      </w:pPr>
      <w:r>
        <w:t xml:space="preserve">3.1 Purpose</w:t>
      </w:r>
    </w:p>
    <w:p>
      <w:pPr>
        <w:spacing w:after="180"/>
      </w:pPr>
      <w:r>
        <w:t xml:space="preserve">Comprehensive Databricks cost analysis providing visibility into current spending, minimum utilization scenarios (optimized), maximum utilization scenarios (runaway costs), and SQL Warehouse upgrade cost projections. Includes detailed SQL performance optimization recommendations to improve query performance without increasing costs.</w:t>
      </w:r>
    </w:p>
    <w:p>
      <w:pPr>
        <w:pStyle w:val="Heading2"/>
      </w:pPr>
      <w:r>
        <w:t xml:space="preserve">3.2 Cost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1800"/>
        <w:gridCol w:w="1760"/>
      </w:tblGrid>
      <w:tr>
        <w:tc>
          <w:tcPr>
            <w:tcW w:type="dxa" w:w="3500"/>
            <w:tcBorders>
              <w:top w:val="single" w:color="CCCCCC" w:sz="1"/>
              <w:left w:val="single" w:color="CCCCCC" w:sz="1"/>
              <w:bottom w:val="single" w:color="CCCCCC" w:sz="1"/>
              <w:right w:val="single" w:color="CCCCCC" w:sz="1"/>
            </w:tcBorders>
            <w:shd w:fill="2E75B6" w:val="clear"/>
          </w:tcPr>
          <w:p>
            <w:r>
              <w:rPr>
                <w:b/>
                <w:bCs/>
                <w:color w:val="FFFFFF"/>
              </w:rPr>
              <w:t xml:space="preserve">Scenario</w:t>
            </w:r>
          </w:p>
        </w:tc>
        <w:tc>
          <w:tcPr>
            <w:tcW w:type="dxa" w:w="2300"/>
            <w:tcBorders>
              <w:top w:val="single" w:color="CCCCCC" w:sz="1"/>
              <w:left w:val="single" w:color="CCCCCC" w:sz="1"/>
              <w:bottom w:val="single" w:color="CCCCCC" w:sz="1"/>
              <w:right w:val="single" w:color="CCCCCC" w:sz="1"/>
            </w:tcBorders>
            <w:shd w:fill="2E75B6" w:val="clear"/>
          </w:tcPr>
          <w:p>
            <w:r>
              <w:rPr>
                <w:b/>
                <w:bCs/>
                <w:color w:val="FFFFFF"/>
              </w:rPr>
              <w:t xml:space="preserve">Monthly Cost</w:t>
            </w:r>
          </w:p>
        </w:tc>
        <w:tc>
          <w:tcPr>
            <w:tcW w:type="dxa" w:w="1800"/>
            <w:tcBorders>
              <w:top w:val="single" w:color="CCCCCC" w:sz="1"/>
              <w:left w:val="single" w:color="CCCCCC" w:sz="1"/>
              <w:bottom w:val="single" w:color="CCCCCC" w:sz="1"/>
              <w:right w:val="single" w:color="CCCCCC" w:sz="1"/>
            </w:tcBorders>
            <w:shd w:fill="2E75B6" w:val="clear"/>
          </w:tcPr>
          <w:p>
            <w:r>
              <w:rPr>
                <w:b/>
                <w:bCs/>
                <w:color w:val="FFFFFF"/>
              </w:rPr>
              <w:t xml:space="preserve">vs Current</w:t>
            </w:r>
          </w:p>
        </w:tc>
        <w:tc>
          <w:tcPr>
            <w:tcW w:type="dxa" w:w="1760"/>
            <w:tcBorders>
              <w:top w:val="single" w:color="CCCCCC" w:sz="1"/>
              <w:left w:val="single" w:color="CCCCCC" w:sz="1"/>
              <w:bottom w:val="single" w:color="CCCCCC" w:sz="1"/>
              <w:right w:val="single" w:color="CCCCCC" w:sz="1"/>
            </w:tcBorders>
            <w:shd w:fill="2E75B6" w:val="clear"/>
          </w:tcPr>
          <w:p>
            <w:r>
              <w:rPr>
                <w:b/>
                <w:bCs/>
                <w:color w:val="FFFFFF"/>
              </w:rPr>
              <w:t xml:space="preserve">Multiplier</w:t>
            </w:r>
          </w:p>
        </w:tc>
      </w:tr>
      <w:tr>
        <w:tc>
          <w:tcPr>
            <w:tcW w:type="dxa" w:w="3500"/>
            <w:tcBorders>
              <w:top w:val="single" w:color="CCCCCC" w:sz="1"/>
              <w:left w:val="single" w:color="CCCCCC" w:sz="1"/>
              <w:bottom w:val="single" w:color="CCCCCC" w:sz="1"/>
              <w:right w:val="single" w:color="CCCCCC" w:sz="1"/>
            </w:tcBorders>
          </w:tcPr>
          <w:p>
            <w:r>
              <w:rPr>
                <w:b/>
                <w:bCs/>
              </w:rPr>
              <w:t xml:space="preserve">Current Baseline</w:t>
            </w:r>
          </w:p>
        </w:tc>
        <w:tc>
          <w:tcPr>
            <w:tcW w:type="dxa" w:w="2300"/>
            <w:tcBorders>
              <w:top w:val="single" w:color="CCCCCC" w:sz="1"/>
              <w:left w:val="single" w:color="CCCCCC" w:sz="1"/>
              <w:bottom w:val="single" w:color="CCCCCC" w:sz="1"/>
              <w:right w:val="single" w:color="CCCCCC" w:sz="1"/>
            </w:tcBorders>
          </w:tcPr>
          <w:p>
            <w:r>
              <w:t xml:space="preserve">$1,480</w:t>
            </w:r>
          </w:p>
        </w:tc>
        <w:tc>
          <w:tcPr>
            <w:tcW w:type="dxa" w:w="1800"/>
            <w:tcBorders>
              <w:top w:val="single" w:color="CCCCCC" w:sz="1"/>
              <w:left w:val="single" w:color="CCCCCC" w:sz="1"/>
              <w:bottom w:val="single" w:color="CCCCCC" w:sz="1"/>
              <w:right w:val="single" w:color="CCCCCC" w:sz="1"/>
            </w:tcBorders>
          </w:tcPr>
          <w:p>
            <w:r>
              <w:t xml:space="preserve">-</w:t>
            </w:r>
          </w:p>
        </w:tc>
        <w:tc>
          <w:tcPr>
            <w:tcW w:type="dxa" w:w="1760"/>
            <w:tcBorders>
              <w:top w:val="single" w:color="CCCCCC" w:sz="1"/>
              <w:left w:val="single" w:color="CCCCCC" w:sz="1"/>
              <w:bottom w:val="single" w:color="CCCCCC" w:sz="1"/>
              <w:right w:val="single" w:color="CCCCCC" w:sz="1"/>
            </w:tcBorders>
          </w:tcPr>
          <w:p>
            <w:r>
              <w:t xml:space="preserve">1.0x</w:t>
            </w:r>
          </w:p>
        </w:tc>
      </w:tr>
      <w:tr>
        <w:tc>
          <w:tcPr>
            <w:tcW w:type="dxa" w:w="3500"/>
            <w:tcBorders>
              <w:top w:val="single" w:color="CCCCCC" w:sz="1"/>
              <w:left w:val="single" w:color="CCCCCC" w:sz="1"/>
              <w:bottom w:val="single" w:color="CCCCCC" w:sz="1"/>
              <w:right w:val="single" w:color="CCCCCC" w:sz="1"/>
            </w:tcBorders>
            <w:shd w:fill="D1FAE5" w:val="clear"/>
          </w:tcPr>
          <w:p>
            <w:r>
              <w:t xml:space="preserve">Minimum (Optimized)</w:t>
            </w:r>
          </w:p>
        </w:tc>
        <w:tc>
          <w:tcPr>
            <w:tcW w:type="dxa" w:w="2300"/>
            <w:tcBorders>
              <w:top w:val="single" w:color="CCCCCC" w:sz="1"/>
              <w:left w:val="single" w:color="CCCCCC" w:sz="1"/>
              <w:bottom w:val="single" w:color="CCCCCC" w:sz="1"/>
              <w:right w:val="single" w:color="CCCCCC" w:sz="1"/>
            </w:tcBorders>
            <w:shd w:fill="D1FAE5" w:val="clear"/>
          </w:tcPr>
          <w:p>
            <w:r>
              <w:rPr>
                <w:color w:val="059669"/>
              </w:rPr>
              <w:t xml:space="preserve">$1,080</w:t>
            </w:r>
          </w:p>
        </w:tc>
        <w:tc>
          <w:tcPr>
            <w:tcW w:type="dxa" w:w="1800"/>
            <w:tcBorders>
              <w:top w:val="single" w:color="CCCCCC" w:sz="1"/>
              <w:left w:val="single" w:color="CCCCCC" w:sz="1"/>
              <w:bottom w:val="single" w:color="CCCCCC" w:sz="1"/>
              <w:right w:val="single" w:color="CCCCCC" w:sz="1"/>
            </w:tcBorders>
            <w:shd w:fill="D1FAE5" w:val="clear"/>
          </w:tcPr>
          <w:p>
            <w:r>
              <w:rPr>
                <w:color w:val="059669"/>
              </w:rPr>
              <w:t xml:space="preserve">-$400</w:t>
            </w:r>
          </w:p>
        </w:tc>
        <w:tc>
          <w:tcPr>
            <w:tcW w:type="dxa" w:w="1760"/>
            <w:tcBorders>
              <w:top w:val="single" w:color="CCCCCC" w:sz="1"/>
              <w:left w:val="single" w:color="CCCCCC" w:sz="1"/>
              <w:bottom w:val="single" w:color="CCCCCC" w:sz="1"/>
              <w:right w:val="single" w:color="CCCCCC" w:sz="1"/>
            </w:tcBorders>
            <w:shd w:fill="D1FAE5" w:val="clear"/>
          </w:tcPr>
          <w:p>
            <w:r>
              <w:t xml:space="preserve">0.7x</w:t>
            </w:r>
          </w:p>
        </w:tc>
      </w:tr>
      <w:tr>
        <w:tc>
          <w:tcPr>
            <w:tcW w:type="dxa" w:w="3500"/>
            <w:tcBorders>
              <w:top w:val="single" w:color="CCCCCC" w:sz="1"/>
              <w:left w:val="single" w:color="CCCCCC" w:sz="1"/>
              <w:bottom w:val="single" w:color="CCCCCC" w:sz="1"/>
              <w:right w:val="single" w:color="CCCCCC" w:sz="1"/>
            </w:tcBorders>
            <w:shd w:fill="FEE2E2" w:val="clear"/>
          </w:tcPr>
          <w:p>
            <w:r>
              <w:t xml:space="preserve">Maximum (Runaway)</w:t>
            </w:r>
          </w:p>
        </w:tc>
        <w:tc>
          <w:tcPr>
            <w:tcW w:type="dxa" w:w="2300"/>
            <w:tcBorders>
              <w:top w:val="single" w:color="CCCCCC" w:sz="1"/>
              <w:left w:val="single" w:color="CCCCCC" w:sz="1"/>
              <w:bottom w:val="single" w:color="CCCCCC" w:sz="1"/>
              <w:right w:val="single" w:color="CCCCCC" w:sz="1"/>
            </w:tcBorders>
            <w:shd w:fill="FEE2E2" w:val="clear"/>
          </w:tcPr>
          <w:p>
            <w:r>
              <w:rPr>
                <w:color w:val="DC2626"/>
              </w:rPr>
              <w:t xml:space="preserve">$9,450</w:t>
            </w:r>
          </w:p>
        </w:tc>
        <w:tc>
          <w:tcPr>
            <w:tcW w:type="dxa" w:w="1800"/>
            <w:tcBorders>
              <w:top w:val="single" w:color="CCCCCC" w:sz="1"/>
              <w:left w:val="single" w:color="CCCCCC" w:sz="1"/>
              <w:bottom w:val="single" w:color="CCCCCC" w:sz="1"/>
              <w:right w:val="single" w:color="CCCCCC" w:sz="1"/>
            </w:tcBorders>
            <w:shd w:fill="FEE2E2" w:val="clear"/>
          </w:tcPr>
          <w:p>
            <w:r>
              <w:rPr>
                <w:color w:val="DC2626"/>
              </w:rPr>
              <w:t xml:space="preserve">+$7,970</w:t>
            </w:r>
          </w:p>
        </w:tc>
        <w:tc>
          <w:tcPr>
            <w:tcW w:type="dxa" w:w="1760"/>
            <w:tcBorders>
              <w:top w:val="single" w:color="CCCCCC" w:sz="1"/>
              <w:left w:val="single" w:color="CCCCCC" w:sz="1"/>
              <w:bottom w:val="single" w:color="CCCCCC" w:sz="1"/>
              <w:right w:val="single" w:color="CCCCCC" w:sz="1"/>
            </w:tcBorders>
            <w:shd w:fill="FEE2E2" w:val="clear"/>
          </w:tcPr>
          <w:p>
            <w:r>
              <w:rPr>
                <w:b/>
                <w:bCs/>
              </w:rPr>
              <w:t xml:space="preserve">6.4x</w:t>
            </w:r>
          </w:p>
        </w:tc>
      </w:tr>
    </w:tbl>
    <w:p>
      <w:pPr>
        <w:spacing w:before="240" w:after="180"/>
      </w:pPr>
    </w:p>
    <w:p>
      <w:pPr>
        <w:pStyle w:val="Heading2"/>
      </w:pPr>
      <w:r>
        <w:t xml:space="preserve">3.3 SQL Warehouse Upgrade Costs</w:t>
      </w:r>
    </w:p>
    <w:p>
      <w:pPr>
        <w:spacing w:after="120"/>
      </w:pPr>
      <w:r>
        <w:t xml:space="preserve">Cost analysis for upgrading SQL Warehouse to handle increased performance requirements:</w:t>
      </w:r>
    </w:p>
    <w:p>
      <w:pPr>
        <w:pStyle w:val="ListParagraph"/>
        <w:numPr>
          <w:ilvl w:val="0"/>
          <w:numId w:val="2"/>
        </w:numPr>
      </w:pPr>
      <w:r>
        <w:t xml:space="preserve">2X-Small to X-Small: +$250/month (2x performance)</w:t>
      </w:r>
    </w:p>
    <w:p>
      <w:pPr>
        <w:pStyle w:val="ListParagraph"/>
        <w:numPr>
          <w:ilvl w:val="0"/>
          <w:numId w:val="2"/>
        </w:numPr>
      </w:pPr>
      <w:r>
        <w:t xml:space="preserve">2X-Small to Small: +$550/month (4x performance)</w:t>
      </w:r>
    </w:p>
    <w:p>
      <w:pPr>
        <w:pStyle w:val="ListParagraph"/>
        <w:numPr>
          <w:ilvl w:val="0"/>
          <w:numId w:val="2"/>
        </w:numPr>
        <w:spacing w:after="180"/>
      </w:pPr>
      <w:r>
        <w:t xml:space="preserve">2X-Small to Medium: +$1,100/month (8x performance)</w:t>
      </w:r>
    </w:p>
    <w:p>
      <w:pPr>
        <w:pStyle w:val="Heading2"/>
      </w:pPr>
      <w:r>
        <w:t xml:space="preserve">3.4 Runaway Cost Triggers Identified</w:t>
      </w:r>
    </w:p>
    <w:p>
      <w:pPr>
        <w:pStyle w:val="Heading3"/>
      </w:pPr>
      <w:r>
        <w:t xml:space="preserve">Trigger 1: Clusters Running 24/7</w:t>
      </w:r>
    </w:p>
    <w:p>
      <w:pPr>
        <w:spacing w:after="60"/>
      </w:pPr>
      <w:r>
        <w:t xml:space="preserve">Monthly Impact: $2,000 - $4,000</w:t>
      </w:r>
    </w:p>
    <w:p>
      <w:pPr>
        <w:pStyle w:val="ListParagraph"/>
        <w:numPr>
          <w:ilvl w:val="0"/>
          <w:numId w:val="2"/>
        </w:numPr>
      </w:pPr>
      <w:r>
        <w:t xml:space="preserve">Auto-termination disabled or timeout set too high</w:t>
      </w:r>
    </w:p>
    <w:p>
      <w:pPr>
        <w:pStyle w:val="ListParagraph"/>
        <w:numPr>
          <w:ilvl w:val="0"/>
          <w:numId w:val="2"/>
        </w:numPr>
      </w:pPr>
      <w:r>
        <w:t xml:space="preserve">Interactive clusters left running overnight and weekends</w:t>
      </w:r>
    </w:p>
    <w:p>
      <w:pPr>
        <w:pStyle w:val="ListParagraph"/>
        <w:numPr>
          <w:ilvl w:val="0"/>
          <w:numId w:val="2"/>
        </w:numPr>
        <w:spacing w:after="120"/>
      </w:pPr>
      <w:r>
        <w:t xml:space="preserve">Example: Small cluster business hours (170 hrs) = $250/month vs 24/7 (730 hrs) = $1,100/month</w:t>
      </w:r>
    </w:p>
    <w:p>
      <w:pPr>
        <w:pStyle w:val="Heading3"/>
      </w:pPr>
      <w:r>
        <w:t xml:space="preserve">Trigger 2: Oversized Clusters</w:t>
      </w:r>
    </w:p>
    <w:p>
      <w:pPr>
        <w:spacing w:after="60"/>
      </w:pPr>
      <w:r>
        <w:t xml:space="preserve">Monthly Impact: $1,000 - $2,500</w:t>
      </w:r>
    </w:p>
    <w:p>
      <w:pPr>
        <w:pStyle w:val="ListParagraph"/>
        <w:numPr>
          <w:ilvl w:val="0"/>
          <w:numId w:val="2"/>
        </w:numPr>
      </w:pPr>
      <w:r>
        <w:t xml:space="preserve">Large cluster size selected for small workloads</w:t>
      </w:r>
    </w:p>
    <w:p>
      <w:pPr>
        <w:pStyle w:val="ListParagraph"/>
        <w:numPr>
          <w:ilvl w:val="0"/>
          <w:numId w:val="2"/>
        </w:numPr>
      </w:pPr>
      <w:r>
        <w:t xml:space="preserve">Autoscaling not utilized (fixed large cluster size)</w:t>
      </w:r>
    </w:p>
    <w:p>
      <w:pPr>
        <w:pStyle w:val="ListParagraph"/>
        <w:numPr>
          <w:ilvl w:val="0"/>
          <w:numId w:val="2"/>
        </w:numPr>
        <w:spacing w:after="120"/>
      </w:pPr>
      <w:r>
        <w:t xml:space="preserve">Example: Right-sized 2X-Small = $300/month vs Oversized Large = $1,400/month</w:t>
      </w:r>
    </w:p>
    <w:p>
      <w:pPr>
        <w:pStyle w:val="Heading3"/>
      </w:pPr>
      <w:r>
        <w:t xml:space="preserve">Trigger 3: Inefficient SQL Queries</w:t>
      </w:r>
    </w:p>
    <w:p>
      <w:pPr>
        <w:spacing w:after="60"/>
      </w:pPr>
      <w:r>
        <w:t xml:space="preserve">Monthly Impact: $500 - $1,500</w:t>
      </w:r>
    </w:p>
    <w:p>
      <w:pPr>
        <w:pStyle w:val="ListParagraph"/>
        <w:numPr>
          <w:ilvl w:val="0"/>
          <w:numId w:val="2"/>
        </w:numPr>
      </w:pPr>
      <w:r>
        <w:t xml:space="preserve">Full table scans instead of partition-based queries</w:t>
      </w:r>
    </w:p>
    <w:p>
      <w:pPr>
        <w:pStyle w:val="ListParagraph"/>
        <w:numPr>
          <w:ilvl w:val="0"/>
          <w:numId w:val="2"/>
        </w:numPr>
      </w:pPr>
      <w:r>
        <w:t xml:space="preserve">Missing or unused database indexes</w:t>
      </w:r>
    </w:p>
    <w:p>
      <w:pPr>
        <w:pStyle w:val="ListParagraph"/>
        <w:numPr>
          <w:ilvl w:val="0"/>
          <w:numId w:val="2"/>
        </w:numPr>
      </w:pPr>
      <w:r>
        <w:t xml:space="preserve">Query result caching not enabled</w:t>
      </w:r>
    </w:p>
    <w:p>
      <w:pPr>
        <w:pStyle w:val="ListParagraph"/>
        <w:numPr>
          <w:ilvl w:val="0"/>
          <w:numId w:val="2"/>
        </w:numPr>
        <w:spacing w:after="180"/>
      </w:pPr>
      <w:r>
        <w:t xml:space="preserve">Example: Optimized query (2 min) = $0.05 vs Unoptimized (1 hour) = $1.50 per execution</w:t>
      </w:r>
    </w:p>
    <w:p>
      <w:pPr>
        <w:pStyle w:val="Heading2"/>
      </w:pPr>
      <w:r>
        <w:t xml:space="preserve">3.5 Deliverables</w:t>
      </w:r>
    </w:p>
    <w:p>
      <w:pPr>
        <w:pStyle w:val="ListParagraph"/>
        <w:numPr>
          <w:ilvl w:val="0"/>
          <w:numId w:val="2"/>
        </w:numPr>
      </w:pPr>
      <w:r>
        <w:t xml:space="preserve">PYX-Databricks-Cost-Analysis-Report.html - Professional HTML report with Excel-style formatting</w:t>
      </w:r>
    </w:p>
    <w:p>
      <w:pPr>
        <w:pStyle w:val="ListParagraph"/>
        <w:numPr>
          <w:ilvl w:val="0"/>
          <w:numId w:val="2"/>
        </w:numPr>
      </w:pPr>
      <w:r>
        <w:t xml:space="preserve">Cost scenario breakdown (Current, Min, Max)</w:t>
      </w:r>
    </w:p>
    <w:p>
      <w:pPr>
        <w:pStyle w:val="ListParagraph"/>
        <w:numPr>
          <w:ilvl w:val="0"/>
          <w:numId w:val="2"/>
        </w:numPr>
      </w:pPr>
      <w:r>
        <w:t xml:space="preserve">SQL Warehouse upgrade cost analysis</w:t>
      </w:r>
    </w:p>
    <w:p>
      <w:pPr>
        <w:pStyle w:val="ListParagraph"/>
        <w:numPr>
          <w:ilvl w:val="0"/>
          <w:numId w:val="2"/>
        </w:numPr>
      </w:pPr>
      <w:r>
        <w:t xml:space="preserve">Runaway cost trigger analysis with examples</w:t>
      </w:r>
    </w:p>
    <w:p>
      <w:pPr>
        <w:pStyle w:val="ListParagraph"/>
        <w:numPr>
          <w:ilvl w:val="0"/>
          <w:numId w:val="2"/>
        </w:numPr>
        <w:spacing w:after="240"/>
      </w:pPr>
      <w:r>
        <w:t xml:space="preserve">SQL performance optimization recommendations (See Project 17)</w:t>
      </w:r>
    </w:p>
    <w:p>
      <w:r>
        <w:br w:type="page"/>
      </w:r>
    </w:p>
    <w:p>
      <w:pPr>
        <w:pStyle w:val="Heading1"/>
      </w:pPr>
      <w:r>
        <w:t xml:space="preserve">17. Databricks SQL Performance Optimization</w:t>
      </w:r>
    </w:p>
    <w:p>
      <w:pPr>
        <w:spacing w:after="180"/>
      </w:pPr>
      <w:r>
        <w:rPr>
          <w:b/>
          <w:bCs/>
          <w:color w:val="059669"/>
        </w:rPr>
        <w:t xml:space="preserve">STATUS: COMPLETE | Zero-Cost Performance Improvements Documented</w:t>
      </w:r>
    </w:p>
    <w:p>
      <w:pPr>
        <w:pStyle w:val="Heading2"/>
      </w:pPr>
      <w:r>
        <w:t xml:space="preserve">17.1 Purpose</w:t>
      </w:r>
    </w:p>
    <w:p>
      <w:pPr>
        <w:spacing w:after="180"/>
      </w:pPr>
      <w:r>
        <w:t xml:space="preserve">Address slow SQL Warehouse query performance complaints through comprehensive optimization documentation. Provides 6 major optimization strategies that can achieve 2-5x faster query execution without increasing infrastructure costs.</w:t>
      </w:r>
    </w:p>
    <w:p>
      <w:pPr>
        <w:pStyle w:val="Heading2"/>
      </w:pPr>
      <w:r>
        <w:t xml:space="preserve">17.2 Performance Improvements (Zero Cost)</w:t>
      </w:r>
    </w:p>
    <w:p>
      <w:pPr>
        <w:pStyle w:val="Heading3"/>
      </w:pPr>
      <w:r>
        <w:t xml:space="preserve">Optimization 1: Query Structure Refinement</w:t>
      </w:r>
    </w:p>
    <w:p>
      <w:pPr>
        <w:spacing w:after="60"/>
      </w:pPr>
      <w:r>
        <w:t xml:space="preserve">Impact: 5-10x faster query execution</w:t>
      </w:r>
    </w:p>
    <w:p>
      <w:pPr>
        <w:pStyle w:val="ListParagraph"/>
        <w:numPr>
          <w:ilvl w:val="0"/>
          <w:numId w:val="2"/>
        </w:numPr>
      </w:pPr>
      <w:r>
        <w:t xml:space="preserve">Add partition filters to eliminate full table scans</w:t>
      </w:r>
    </w:p>
    <w:p>
      <w:pPr>
        <w:pStyle w:val="ListParagraph"/>
        <w:numPr>
          <w:ilvl w:val="0"/>
          <w:numId w:val="2"/>
        </w:numPr>
      </w:pPr>
      <w:r>
        <w:t xml:space="preserve">Select only needed columns instead of SELECT *</w:t>
      </w:r>
    </w:p>
    <w:p>
      <w:pPr>
        <w:pStyle w:val="ListParagraph"/>
        <w:numPr>
          <w:ilvl w:val="0"/>
          <w:numId w:val="2"/>
        </w:numPr>
        <w:spacing w:after="120"/>
      </w:pPr>
      <w:r>
        <w:t xml:space="preserve">Add NOT NULL filters to reduce data scanning</w:t>
      </w:r>
    </w:p>
    <w:p>
      <w:pPr>
        <w:pStyle w:val="Heading3"/>
      </w:pPr>
      <w:r>
        <w:t xml:space="preserve">Optimization 2: Query Result Caching</w:t>
      </w:r>
    </w:p>
    <w:p>
      <w:pPr>
        <w:spacing w:after="60"/>
      </w:pPr>
      <w:r>
        <w:t xml:space="preserve">Impact: Instant results for repeated queries, reduces DBU consumption</w:t>
      </w:r>
    </w:p>
    <w:p>
      <w:pPr>
        <w:pStyle w:val="ListParagraph"/>
        <w:numPr>
          <w:ilvl w:val="0"/>
          <w:numId w:val="2"/>
        </w:numPr>
      </w:pPr>
      <w:r>
        <w:t xml:space="preserve">Enable result caching in SQL Warehouse settings</w:t>
      </w:r>
    </w:p>
    <w:p>
      <w:pPr>
        <w:pStyle w:val="ListParagraph"/>
        <w:numPr>
          <w:ilvl w:val="0"/>
          <w:numId w:val="2"/>
        </w:numPr>
      </w:pPr>
      <w:r>
        <w:t xml:space="preserve">Configure cache duration: 24 hours</w:t>
      </w:r>
    </w:p>
    <w:p>
      <w:pPr>
        <w:pStyle w:val="ListParagraph"/>
        <w:numPr>
          <w:ilvl w:val="0"/>
          <w:numId w:val="2"/>
        </w:numPr>
        <w:spacing w:after="120"/>
      </w:pPr>
      <w:r>
        <w:t xml:space="preserve">Identical queries return cached results immediately</w:t>
      </w:r>
    </w:p>
    <w:p>
      <w:pPr>
        <w:pStyle w:val="Heading3"/>
      </w:pPr>
      <w:r>
        <w:t xml:space="preserve">Optimization 3: Delta Lake Optimization</w:t>
      </w:r>
    </w:p>
    <w:p>
      <w:pPr>
        <w:spacing w:after="60"/>
      </w:pPr>
      <w:r>
        <w:t xml:space="preserve">Impact: 2-3x faster queries, improved compression</w:t>
      </w:r>
    </w:p>
    <w:p>
      <w:pPr>
        <w:pStyle w:val="ListParagraph"/>
        <w:numPr>
          <w:ilvl w:val="0"/>
          <w:numId w:val="2"/>
        </w:numPr>
      </w:pPr>
      <w:r>
        <w:t xml:space="preserve">Run OPTIMIZE weekly on large tables to compact small files</w:t>
      </w:r>
    </w:p>
    <w:p>
      <w:pPr>
        <w:pStyle w:val="ListParagraph"/>
        <w:numPr>
          <w:ilvl w:val="0"/>
          <w:numId w:val="2"/>
        </w:numPr>
      </w:pPr>
      <w:r>
        <w:t xml:space="preserve">Use ZORDER BY on frequently filtered columns</w:t>
      </w:r>
    </w:p>
    <w:p>
      <w:pPr>
        <w:pStyle w:val="ListParagraph"/>
        <w:numPr>
          <w:ilvl w:val="0"/>
          <w:numId w:val="2"/>
        </w:numPr>
        <w:spacing w:after="120"/>
      </w:pPr>
      <w:r>
        <w:t xml:space="preserve">Reduces file count and improves read performance</w:t>
      </w:r>
    </w:p>
    <w:p>
      <w:pPr>
        <w:pStyle w:val="Heading3"/>
      </w:pPr>
      <w:r>
        <w:t xml:space="preserve">Optimization 4: Materialized Views</w:t>
      </w:r>
    </w:p>
    <w:p>
      <w:pPr>
        <w:spacing w:after="60"/>
      </w:pPr>
      <w:r>
        <w:t xml:space="preserve">Impact: 10-100x faster execution for complex queries</w:t>
      </w:r>
    </w:p>
    <w:p>
      <w:pPr>
        <w:pStyle w:val="ListParagraph"/>
        <w:numPr>
          <w:ilvl w:val="0"/>
          <w:numId w:val="2"/>
        </w:numPr>
      </w:pPr>
      <w:r>
        <w:t xml:space="preserve">Pre-compute complex joins and aggregations</w:t>
      </w:r>
    </w:p>
    <w:p>
      <w:pPr>
        <w:pStyle w:val="ListParagraph"/>
        <w:numPr>
          <w:ilvl w:val="0"/>
          <w:numId w:val="2"/>
        </w:numPr>
      </w:pPr>
      <w:r>
        <w:t xml:space="preserve">Refresh on schedule instead of every query execution</w:t>
      </w:r>
    </w:p>
    <w:p>
      <w:pPr>
        <w:pStyle w:val="ListParagraph"/>
        <w:numPr>
          <w:ilvl w:val="0"/>
          <w:numId w:val="2"/>
        </w:numPr>
        <w:spacing w:after="120"/>
      </w:pPr>
      <w:r>
        <w:t xml:space="preserve">Ideal for dashboards and reports with heavy calculations</w:t>
      </w:r>
    </w:p>
    <w:p>
      <w:pPr>
        <w:pStyle w:val="Heading3"/>
      </w:pPr>
      <w:r>
        <w:t xml:space="preserve">Optimization 5: Strategic Indexes</w:t>
      </w:r>
    </w:p>
    <w:p>
      <w:pPr>
        <w:spacing w:after="60"/>
      </w:pPr>
      <w:r>
        <w:t xml:space="preserve">Impact: 3-5x faster point lookups</w:t>
      </w:r>
    </w:p>
    <w:p>
      <w:pPr>
        <w:pStyle w:val="ListParagraph"/>
        <w:numPr>
          <w:ilvl w:val="0"/>
          <w:numId w:val="2"/>
        </w:numPr>
      </w:pPr>
      <w:r>
        <w:t xml:space="preserve">Create BLOOMFILTER indexes on frequently filtered columns</w:t>
      </w:r>
    </w:p>
    <w:p>
      <w:pPr>
        <w:pStyle w:val="ListParagraph"/>
        <w:numPr>
          <w:ilvl w:val="0"/>
          <w:numId w:val="2"/>
        </w:numPr>
      </w:pPr>
      <w:r>
        <w:t xml:space="preserve">Significantly improves WHERE clause performance</w:t>
      </w:r>
    </w:p>
    <w:p>
      <w:pPr>
        <w:pStyle w:val="ListParagraph"/>
        <w:numPr>
          <w:ilvl w:val="0"/>
          <w:numId w:val="2"/>
        </w:numPr>
        <w:spacing w:after="120"/>
      </w:pPr>
      <w:r>
        <w:t xml:space="preserve">Requires Unity Catalog for Delta tables</w:t>
      </w:r>
    </w:p>
    <w:p>
      <w:pPr>
        <w:pStyle w:val="Heading3"/>
      </w:pPr>
      <w:r>
        <w:t xml:space="preserve">Optimization 6: SQL Warehouse Auto-Scaling</w:t>
      </w:r>
    </w:p>
    <w:p>
      <w:pPr>
        <w:spacing w:after="60"/>
      </w:pPr>
      <w:r>
        <w:t xml:space="preserve">Impact: Eliminates query queuing during peak times</w:t>
      </w:r>
    </w:p>
    <w:p>
      <w:pPr>
        <w:pStyle w:val="ListParagraph"/>
        <w:numPr>
          <w:ilvl w:val="0"/>
          <w:numId w:val="2"/>
        </w:numPr>
      </w:pPr>
      <w:r>
        <w:t xml:space="preserve">Configure Min 1, Max 2-3 clusters for auto-scale</w:t>
      </w:r>
    </w:p>
    <w:p>
      <w:pPr>
        <w:pStyle w:val="ListParagraph"/>
        <w:numPr>
          <w:ilvl w:val="0"/>
          <w:numId w:val="2"/>
        </w:numPr>
      </w:pPr>
      <w:r>
        <w:t xml:space="preserve">Additional clusters only billed during active use</w:t>
      </w:r>
    </w:p>
    <w:p>
      <w:pPr>
        <w:pStyle w:val="ListParagraph"/>
        <w:numPr>
          <w:ilvl w:val="0"/>
          <w:numId w:val="2"/>
        </w:numPr>
        <w:spacing w:after="180"/>
      </w:pPr>
      <w:r>
        <w:t xml:space="preserve">Prevents query queuing without permanent cost increase</w:t>
      </w:r>
    </w:p>
    <w:p>
      <w:pPr>
        <w:pStyle w:val="Heading2"/>
      </w:pPr>
      <w:r>
        <w:t xml:space="preserve">17.3 Implementation Phases</w:t>
      </w:r>
    </w:p>
    <w:p>
      <w:pPr>
        <w:spacing w:after="60"/>
      </w:pPr>
      <w:r>
        <w:rPr>
          <w:b/>
          <w:bCs/>
        </w:rPr>
        <w:t xml:space="preserve">Phase 1: Quick Wins (Week 1)</w:t>
      </w:r>
    </w:p>
    <w:p>
      <w:pPr>
        <w:pStyle w:val="ListParagraph"/>
        <w:numPr>
          <w:ilvl w:val="0"/>
          <w:numId w:val="2"/>
        </w:numPr>
      </w:pPr>
      <w:r>
        <w:t xml:space="preserve">Enable query result caching</w:t>
      </w:r>
    </w:p>
    <w:p>
      <w:pPr>
        <w:pStyle w:val="ListParagraph"/>
        <w:numPr>
          <w:ilvl w:val="0"/>
          <w:numId w:val="2"/>
        </w:numPr>
      </w:pPr>
      <w:r>
        <w:t xml:space="preserve">Run OPTIMIZE on top 5 largest tables</w:t>
      </w:r>
    </w:p>
    <w:p>
      <w:pPr>
        <w:pStyle w:val="ListParagraph"/>
        <w:numPr>
          <w:ilvl w:val="0"/>
          <w:numId w:val="2"/>
        </w:numPr>
        <w:spacing w:after="120"/>
      </w:pPr>
      <w:r>
        <w:t xml:space="preserve">Set SQL Warehouse auto-stop to 15 minutes</w:t>
      </w:r>
    </w:p>
    <w:p>
      <w:pPr>
        <w:spacing w:after="60"/>
      </w:pPr>
      <w:r>
        <w:rPr>
          <w:b/>
          <w:bCs/>
        </w:rPr>
        <w:t xml:space="preserve">Phase 2: Query Optimization (Weeks 2-3)</w:t>
      </w:r>
    </w:p>
    <w:p>
      <w:pPr>
        <w:pStyle w:val="ListParagraph"/>
        <w:numPr>
          <w:ilvl w:val="0"/>
          <w:numId w:val="2"/>
        </w:numPr>
      </w:pPr>
      <w:r>
        <w:t xml:space="preserve">Identify top 10 slowest queries</w:t>
      </w:r>
    </w:p>
    <w:p>
      <w:pPr>
        <w:pStyle w:val="ListParagraph"/>
        <w:numPr>
          <w:ilvl w:val="0"/>
          <w:numId w:val="2"/>
        </w:numPr>
      </w:pPr>
      <w:r>
        <w:t xml:space="preserve">Add partition filters and indexes</w:t>
      </w:r>
    </w:p>
    <w:p>
      <w:pPr>
        <w:pStyle w:val="ListParagraph"/>
        <w:numPr>
          <w:ilvl w:val="0"/>
          <w:numId w:val="2"/>
        </w:numPr>
        <w:spacing w:after="120"/>
      </w:pPr>
      <w:r>
        <w:t xml:space="preserve">Create materialized views for heavy dashboards</w:t>
      </w:r>
    </w:p>
    <w:p>
      <w:pPr>
        <w:spacing w:after="60"/>
      </w:pPr>
      <w:r>
        <w:rPr>
          <w:b/>
          <w:bCs/>
        </w:rPr>
        <w:t xml:space="preserve">Phase 3: Tier Upgrade (Only if needed after Phases 1-2)</w:t>
      </w:r>
    </w:p>
    <w:p>
      <w:pPr>
        <w:pStyle w:val="ListParagraph"/>
        <w:numPr>
          <w:ilvl w:val="0"/>
          <w:numId w:val="2"/>
        </w:numPr>
      </w:pPr>
      <w:r>
        <w:t xml:space="preserve">If still slow: Upgrade to X-Small (+$250/month)</w:t>
      </w:r>
    </w:p>
    <w:p>
      <w:pPr>
        <w:pStyle w:val="ListParagraph"/>
        <w:numPr>
          <w:ilvl w:val="0"/>
          <w:numId w:val="2"/>
        </w:numPr>
        <w:spacing w:after="240"/>
      </w:pPr>
      <w:r>
        <w:t xml:space="preserve">If handling more users: Consider Small (+$550/month)</w:t>
      </w:r>
    </w:p>
    <w:p>
      <w:r>
        <w:br w:type="page"/>
      </w:r>
    </w:p>
    <w:p>
      <w:pPr>
        <w:pStyle w:val="Heading1"/>
      </w:pPr>
      <w:r>
        <w:t xml:space="preserve">SECTION E: IN PROGRESS PROJECTS</w:t>
      </w:r>
    </w:p>
    <w:p>
      <w:pPr>
        <w:spacing w:after="240"/>
      </w:pPr>
      <w:r>
        <w:t xml:space="preserve">5 Active Projects | Expected Completion: Q1 2026</w:t>
      </w:r>
    </w:p>
    <w:p>
      <w:pPr>
        <w:pStyle w:val="Heading1"/>
      </w:pPr>
      <w:r>
        <w:t xml:space="preserve">18. AD Audit Remediation</w:t>
      </w:r>
    </w:p>
    <w:p>
      <w:pPr>
        <w:spacing w:after="180"/>
      </w:pPr>
      <w:r>
        <w:rPr>
          <w:b/>
          <w:bCs/>
          <w:color w:val="D97706"/>
        </w:rPr>
        <w:t xml:space="preserve">STATUS: IN PROGRESS | 155 Issues to Remediate</w:t>
      </w:r>
    </w:p>
    <w:p>
      <w:pPr>
        <w:pStyle w:val="Heading2"/>
      </w:pPr>
      <w:r>
        <w:t xml:space="preserve">18.1 Purpose</w:t>
      </w:r>
    </w:p>
    <w:p>
      <w:pPr>
        <w:spacing w:after="180"/>
      </w:pPr>
      <w:r>
        <w:t xml:space="preserve">Systematic remediation of all 207 security issues identified in Project 5 (AD Security Audit). Prioritized by severity: 29 critical, 126 high, 34 medium, and 18 low priority issues.</w:t>
      </w:r>
    </w:p>
    <w:p>
      <w:pPr>
        <w:pStyle w:val="Heading2"/>
      </w:pPr>
      <w:r>
        <w:t xml:space="preserve">18.2 Remediation Phases</w:t>
      </w:r>
    </w:p>
    <w:p>
      <w:pPr>
        <w:spacing w:after="60"/>
      </w:pPr>
      <w:r>
        <w:rPr>
          <w:b/>
          <w:bCs/>
        </w:rPr>
        <w:t xml:space="preserve">Phase 1: Critical Issues (Week 1-2)</w:t>
      </w:r>
    </w:p>
    <w:p>
      <w:pPr>
        <w:pStyle w:val="ListParagraph"/>
        <w:numPr>
          <w:ilvl w:val="0"/>
          <w:numId w:val="2"/>
        </w:numPr>
      </w:pPr>
      <w:r>
        <w:t xml:space="preserve">Remove public IPs from Domain Controllers</w:t>
      </w:r>
    </w:p>
    <w:p>
      <w:pPr>
        <w:pStyle w:val="ListParagraph"/>
        <w:numPr>
          <w:ilvl w:val="0"/>
          <w:numId w:val="2"/>
        </w:numPr>
      </w:pPr>
      <w:r>
        <w:t xml:space="preserve">Disable 'password never expires' on 8 accounts</w:t>
      </w:r>
    </w:p>
    <w:p>
      <w:pPr>
        <w:pStyle w:val="ListParagraph"/>
        <w:numPr>
          <w:ilvl w:val="0"/>
          <w:numId w:val="2"/>
        </w:numPr>
      </w:pPr>
      <w:r>
        <w:t xml:space="preserve">Require passwords on 3 accounts with no password required</w:t>
      </w:r>
    </w:p>
    <w:p>
      <w:pPr>
        <w:pStyle w:val="ListParagraph"/>
        <w:numPr>
          <w:ilvl w:val="0"/>
          <w:numId w:val="2"/>
        </w:numPr>
      </w:pPr>
      <w:r>
        <w:t xml:space="preserve">Lock down NSG rules allowing RDP from 0.0.0.0/0</w:t>
      </w:r>
    </w:p>
    <w:p>
      <w:pPr>
        <w:pStyle w:val="ListParagraph"/>
        <w:numPr>
          <w:ilvl w:val="0"/>
          <w:numId w:val="2"/>
        </w:numPr>
        <w:spacing w:after="120"/>
      </w:pPr>
      <w:r>
        <w:t xml:space="preserve">Remove Domain Admin from 5 service accounts</w:t>
      </w:r>
    </w:p>
    <w:p>
      <w:pPr>
        <w:spacing w:after="60"/>
      </w:pPr>
      <w:r>
        <w:rPr>
          <w:b/>
          <w:bCs/>
        </w:rPr>
        <w:t xml:space="preserve">Phase 2: High Priority Issues (Week 3-4)</w:t>
      </w:r>
    </w:p>
    <w:p>
      <w:pPr>
        <w:pStyle w:val="ListParagraph"/>
        <w:numPr>
          <w:ilvl w:val="0"/>
          <w:numId w:val="2"/>
        </w:numPr>
      </w:pPr>
      <w:r>
        <w:t xml:space="preserve">Disable 126 high-priority security configuration issues</w:t>
      </w:r>
    </w:p>
    <w:p>
      <w:pPr>
        <w:pStyle w:val="ListParagraph"/>
        <w:numPr>
          <w:ilvl w:val="0"/>
          <w:numId w:val="2"/>
        </w:numPr>
      </w:pPr>
      <w:r>
        <w:t xml:space="preserve">Implement account lockout policies</w:t>
      </w:r>
    </w:p>
    <w:p>
      <w:pPr>
        <w:pStyle w:val="ListParagraph"/>
        <w:numPr>
          <w:ilvl w:val="0"/>
          <w:numId w:val="2"/>
        </w:numPr>
        <w:spacing w:after="120"/>
      </w:pPr>
      <w:r>
        <w:t xml:space="preserve">Remove inactive users from privileged groups</w:t>
      </w:r>
    </w:p>
    <w:p>
      <w:pPr>
        <w:pStyle w:val="Heading2"/>
      </w:pPr>
      <w:r>
        <w:t xml:space="preserve">18.3 Current Status</w:t>
      </w:r>
    </w:p>
    <w:p>
      <w:pPr>
        <w:pStyle w:val="ListParagraph"/>
        <w:numPr>
          <w:ilvl w:val="0"/>
          <w:numId w:val="2"/>
        </w:numPr>
      </w:pPr>
      <w:r>
        <w:t xml:space="preserve">Remediation scripts developed: 12/29</w:t>
      </w:r>
    </w:p>
    <w:p>
      <w:pPr>
        <w:pStyle w:val="ListParagraph"/>
        <w:numPr>
          <w:ilvl w:val="0"/>
          <w:numId w:val="2"/>
        </w:numPr>
      </w:pPr>
      <w:r>
        <w:t xml:space="preserve">Testing in progress: Dev environment</w:t>
      </w:r>
    </w:p>
    <w:p>
      <w:pPr>
        <w:pStyle w:val="ListParagraph"/>
        <w:numPr>
          <w:ilvl w:val="0"/>
          <w:numId w:val="2"/>
        </w:numPr>
        <w:spacing w:after="240"/>
      </w:pPr>
      <w:r>
        <w:t xml:space="preserve">Expected completion: March 2026</w:t>
      </w:r>
    </w:p>
    <w:p>
      <w:pPr>
        <w:pStyle w:val="Heading1"/>
      </w:pPr>
      <w:r>
        <w:t xml:space="preserve">19. GODS Alerts Deployment</w:t>
      </w:r>
    </w:p>
    <w:p>
      <w:pPr>
        <w:spacing w:after="180"/>
      </w:pPr>
      <w:r>
        <w:rPr>
          <w:b/>
          <w:bCs/>
          <w:color w:val="D97706"/>
        </w:rPr>
        <w:t xml:space="preserve">STATUS: IN PROGRESS | Application Monitoring Setup</w:t>
      </w:r>
    </w:p>
    <w:p>
      <w:pPr>
        <w:pStyle w:val="Heading2"/>
      </w:pPr>
      <w:r>
        <w:t xml:space="preserve">19.1 Purpose</w:t>
      </w:r>
    </w:p>
    <w:p>
      <w:pPr>
        <w:spacing w:after="120"/>
      </w:pPr>
      <w:r>
        <w:t xml:space="preserve">Deploy comprehensive monitoring and alerting for GODS application to ensure 24/7 availability, performance tracking, and proactive issue detection.</w:t>
      </w:r>
    </w:p>
    <w:p>
      <w:pPr>
        <w:pStyle w:val="Heading2"/>
      </w:pPr>
      <w:r>
        <w:t xml:space="preserve">19.2 Monitoring Components</w:t>
      </w:r>
    </w:p>
    <w:p>
      <w:pPr>
        <w:pStyle w:val="ListParagraph"/>
        <w:numPr>
          <w:ilvl w:val="0"/>
          <w:numId w:val="2"/>
        </w:numPr>
      </w:pPr>
      <w:r>
        <w:t xml:space="preserve">Application availability monitoring</w:t>
      </w:r>
    </w:p>
    <w:p>
      <w:pPr>
        <w:pStyle w:val="ListParagraph"/>
        <w:numPr>
          <w:ilvl w:val="0"/>
          <w:numId w:val="2"/>
        </w:numPr>
      </w:pPr>
      <w:r>
        <w:t xml:space="preserve">Performance metrics (response time, throughput)</w:t>
      </w:r>
    </w:p>
    <w:p>
      <w:pPr>
        <w:pStyle w:val="ListParagraph"/>
        <w:numPr>
          <w:ilvl w:val="0"/>
          <w:numId w:val="2"/>
        </w:numPr>
      </w:pPr>
      <w:r>
        <w:t xml:space="preserve">Error rate tracking and alerting</w:t>
      </w:r>
    </w:p>
    <w:p>
      <w:pPr>
        <w:pStyle w:val="ListParagraph"/>
        <w:numPr>
          <w:ilvl w:val="0"/>
          <w:numId w:val="2"/>
        </w:numPr>
      </w:pPr>
      <w:r>
        <w:t xml:space="preserve">Database connection health checks</w:t>
      </w:r>
    </w:p>
    <w:p>
      <w:pPr>
        <w:pStyle w:val="ListParagraph"/>
        <w:numPr>
          <w:ilvl w:val="0"/>
          <w:numId w:val="2"/>
        </w:numPr>
        <w:spacing w:after="120"/>
      </w:pPr>
      <w:r>
        <w:t xml:space="preserve">PagerDuty integration for on-call escalation</w:t>
      </w:r>
    </w:p>
    <w:p>
      <w:pPr>
        <w:pStyle w:val="Heading2"/>
      </w:pPr>
      <w:r>
        <w:t xml:space="preserve">19.3 Current Status</w:t>
      </w:r>
    </w:p>
    <w:p>
      <w:pPr>
        <w:pStyle w:val="ListParagraph"/>
        <w:numPr>
          <w:ilvl w:val="0"/>
          <w:numId w:val="2"/>
        </w:numPr>
      </w:pPr>
      <w:r>
        <w:t xml:space="preserve">Monitoring scripts developed: 60% complete</w:t>
      </w:r>
    </w:p>
    <w:p>
      <w:pPr>
        <w:pStyle w:val="ListParagraph"/>
        <w:numPr>
          <w:ilvl w:val="0"/>
          <w:numId w:val="2"/>
        </w:numPr>
      </w:pPr>
      <w:r>
        <w:t xml:space="preserve">Testing in staging environment</w:t>
      </w:r>
    </w:p>
    <w:p>
      <w:pPr>
        <w:pStyle w:val="ListParagraph"/>
        <w:numPr>
          <w:ilvl w:val="0"/>
          <w:numId w:val="2"/>
        </w:numPr>
        <w:spacing w:after="240"/>
      </w:pPr>
      <w:r>
        <w:t xml:space="preserve">Expected completion: February 2026</w:t>
      </w:r>
    </w:p>
    <w:p>
      <w:pPr>
        <w:pStyle w:val="Heading1"/>
      </w:pPr>
      <w:r>
        <w:t xml:space="preserve">20. DevOps VM Migration</w:t>
      </w:r>
    </w:p>
    <w:p>
      <w:pPr>
        <w:spacing w:after="180"/>
      </w:pPr>
      <w:r>
        <w:rPr>
          <w:b/>
          <w:bCs/>
          <w:color w:val="D97706"/>
        </w:rPr>
        <w:t xml:space="preserve">STATUS: IN PROGRESS | Infrastructure Optimization</w:t>
      </w:r>
    </w:p>
    <w:p>
      <w:pPr>
        <w:pStyle w:val="Heading2"/>
      </w:pPr>
      <w:r>
        <w:t xml:space="preserve">20.1 Purpose</w:t>
      </w:r>
    </w:p>
    <w:p>
      <w:pPr>
        <w:spacing w:after="120"/>
      </w:pPr>
      <w:r>
        <w:t xml:space="preserve">Migrate DevOps virtual machines to optimized Azure regions and VM SKUs to reduce costs and improve performance.</w:t>
      </w:r>
    </w:p>
    <w:p>
      <w:pPr>
        <w:pStyle w:val="Heading2"/>
      </w:pPr>
      <w:r>
        <w:t xml:space="preserve">20.2 Migration Plan</w:t>
      </w:r>
    </w:p>
    <w:p>
      <w:pPr>
        <w:pStyle w:val="ListParagraph"/>
        <w:numPr>
          <w:ilvl w:val="0"/>
          <w:numId w:val="2"/>
        </w:numPr>
      </w:pPr>
      <w:r>
        <w:t xml:space="preserve">Source Region: West US</w:t>
      </w:r>
    </w:p>
    <w:p>
      <w:pPr>
        <w:pStyle w:val="ListParagraph"/>
        <w:numPr>
          <w:ilvl w:val="0"/>
          <w:numId w:val="2"/>
        </w:numPr>
      </w:pPr>
      <w:r>
        <w:t xml:space="preserve">Target Region: West US 3</w:t>
      </w:r>
    </w:p>
    <w:p>
      <w:pPr>
        <w:pStyle w:val="ListParagraph"/>
        <w:numPr>
          <w:ilvl w:val="0"/>
          <w:numId w:val="2"/>
        </w:numPr>
      </w:pPr>
      <w:r>
        <w:t xml:space="preserve">VMs to migrate: 8 DevOps build agents</w:t>
      </w:r>
    </w:p>
    <w:p>
      <w:pPr>
        <w:pStyle w:val="ListParagraph"/>
        <w:numPr>
          <w:ilvl w:val="0"/>
          <w:numId w:val="2"/>
        </w:numPr>
        <w:spacing w:after="120"/>
      </w:pPr>
      <w:r>
        <w:t xml:space="preserve">Expected downtime: 2-4 hours maintenance window</w:t>
      </w:r>
    </w:p>
    <w:p>
      <w:pPr>
        <w:pStyle w:val="Heading2"/>
      </w:pPr>
      <w:r>
        <w:t xml:space="preserve">20.3 Current Status</w:t>
      </w:r>
    </w:p>
    <w:p>
      <w:pPr>
        <w:pStyle w:val="ListParagraph"/>
        <w:numPr>
          <w:ilvl w:val="0"/>
          <w:numId w:val="2"/>
        </w:numPr>
      </w:pPr>
      <w:r>
        <w:t xml:space="preserve">Migration runbook created</w:t>
      </w:r>
    </w:p>
    <w:p>
      <w:pPr>
        <w:pStyle w:val="ListParagraph"/>
        <w:numPr>
          <w:ilvl w:val="0"/>
          <w:numId w:val="2"/>
        </w:numPr>
      </w:pPr>
      <w:r>
        <w:t xml:space="preserve">Awaiting maintenance window approval</w:t>
      </w:r>
    </w:p>
    <w:p>
      <w:pPr>
        <w:pStyle w:val="ListParagraph"/>
        <w:numPr>
          <w:ilvl w:val="0"/>
          <w:numId w:val="2"/>
        </w:numPr>
        <w:spacing w:after="240"/>
      </w:pPr>
      <w:r>
        <w:t xml:space="preserve">Expected completion: March 2026</w:t>
      </w:r>
    </w:p>
    <w:p>
      <w:pPr>
        <w:pStyle w:val="Heading1"/>
      </w:pPr>
      <w:r>
        <w:t xml:space="preserve">21. MFA Enforcement</w:t>
      </w:r>
    </w:p>
    <w:p>
      <w:pPr>
        <w:spacing w:after="180"/>
      </w:pPr>
      <w:r>
        <w:rPr>
          <w:b/>
          <w:bCs/>
          <w:color w:val="D97706"/>
        </w:rPr>
        <w:t xml:space="preserve">STATUS: IN PROGRESS | Full Tenant Coverage</w:t>
      </w:r>
    </w:p>
    <w:p>
      <w:pPr>
        <w:pStyle w:val="Heading2"/>
      </w:pPr>
      <w:r>
        <w:t xml:space="preserve">21.1 Purpose</w:t>
      </w:r>
    </w:p>
    <w:p>
      <w:pPr>
        <w:spacing w:after="120"/>
      </w:pPr>
      <w:r>
        <w:t xml:space="preserve">Enforce Multi-Factor Authentication (MFA) across entire Azure AD tenant to meet security compliance requirements.</w:t>
      </w:r>
    </w:p>
    <w:p>
      <w:pPr>
        <w:pStyle w:val="Heading2"/>
      </w:pPr>
      <w:r>
        <w:t xml:space="preserve">21.2 Scope</w:t>
      </w:r>
    </w:p>
    <w:p>
      <w:pPr>
        <w:pStyle w:val="ListParagraph"/>
        <w:numPr>
          <w:ilvl w:val="0"/>
          <w:numId w:val="2"/>
        </w:numPr>
      </w:pPr>
      <w:r>
        <w:t xml:space="preserve">Total users: 271</w:t>
      </w:r>
    </w:p>
    <w:p>
      <w:pPr>
        <w:pStyle w:val="ListParagraph"/>
        <w:numPr>
          <w:ilvl w:val="0"/>
          <w:numId w:val="2"/>
        </w:numPr>
      </w:pPr>
      <w:r>
        <w:t xml:space="preserve">MFA enrolled: 184 (68%)</w:t>
      </w:r>
    </w:p>
    <w:p>
      <w:pPr>
        <w:pStyle w:val="ListParagraph"/>
        <w:numPr>
          <w:ilvl w:val="0"/>
          <w:numId w:val="2"/>
        </w:numPr>
      </w:pPr>
      <w:r>
        <w:t xml:space="preserve">Remaining to enroll: 87 (32%)</w:t>
      </w:r>
    </w:p>
    <w:p>
      <w:pPr>
        <w:pStyle w:val="ListParagraph"/>
        <w:numPr>
          <w:ilvl w:val="0"/>
          <w:numId w:val="2"/>
        </w:numPr>
        <w:spacing w:after="120"/>
      </w:pPr>
      <w:r>
        <w:t xml:space="preserve">Deadline: February 28, 2026</w:t>
      </w:r>
    </w:p>
    <w:p>
      <w:pPr>
        <w:pStyle w:val="Heading2"/>
      </w:pPr>
      <w:r>
        <w:t xml:space="preserve">21.3 Current Status</w:t>
      </w:r>
    </w:p>
    <w:p>
      <w:pPr>
        <w:pStyle w:val="ListParagraph"/>
        <w:numPr>
          <w:ilvl w:val="0"/>
          <w:numId w:val="2"/>
        </w:numPr>
      </w:pPr>
      <w:r>
        <w:t xml:space="preserve">Conditional Access policy created (report-only mode)</w:t>
      </w:r>
    </w:p>
    <w:p>
      <w:pPr>
        <w:pStyle w:val="ListParagraph"/>
        <w:numPr>
          <w:ilvl w:val="0"/>
          <w:numId w:val="2"/>
        </w:numPr>
      </w:pPr>
      <w:r>
        <w:t xml:space="preserve">User communication sent</w:t>
      </w:r>
    </w:p>
    <w:p>
      <w:pPr>
        <w:pStyle w:val="ListParagraph"/>
        <w:numPr>
          <w:ilvl w:val="0"/>
          <w:numId w:val="2"/>
        </w:numPr>
        <w:spacing w:after="240"/>
      </w:pPr>
      <w:r>
        <w:t xml:space="preserve">Enforcement date: February 28, 2026</w:t>
      </w:r>
    </w:p>
    <w:p>
      <w:pPr>
        <w:pStyle w:val="Heading1"/>
      </w:pPr>
      <w:r>
        <w:t xml:space="preserve">22. Intune Font Deployment</w:t>
      </w:r>
    </w:p>
    <w:p>
      <w:pPr>
        <w:spacing w:after="180"/>
      </w:pPr>
      <w:r>
        <w:rPr>
          <w:b/>
          <w:bCs/>
          <w:color w:val="D97706"/>
        </w:rPr>
        <w:t xml:space="preserve">STATUS: IN PROGRESS | Endpoint Management</w:t>
      </w:r>
    </w:p>
    <w:p>
      <w:pPr>
        <w:pStyle w:val="Heading2"/>
      </w:pPr>
      <w:r>
        <w:t xml:space="preserve">22.1 Purpose</w:t>
      </w:r>
    </w:p>
    <w:p>
      <w:pPr>
        <w:spacing w:after="120"/>
      </w:pPr>
      <w:r>
        <w:t xml:space="preserve">Deploy corporate fonts to all managed endpoints via Microsoft Intune for brand consistency.</w:t>
      </w:r>
    </w:p>
    <w:p>
      <w:pPr>
        <w:pStyle w:val="Heading2"/>
      </w:pPr>
      <w:r>
        <w:t xml:space="preserve">22.2 Deployment Details</w:t>
      </w:r>
    </w:p>
    <w:p>
      <w:pPr>
        <w:pStyle w:val="ListParagraph"/>
        <w:numPr>
          <w:ilvl w:val="0"/>
          <w:numId w:val="2"/>
        </w:numPr>
      </w:pPr>
      <w:r>
        <w:t xml:space="preserve">Target devices: 180 Windows 10/11 endpoints</w:t>
      </w:r>
    </w:p>
    <w:p>
      <w:pPr>
        <w:pStyle w:val="ListParagraph"/>
        <w:numPr>
          <w:ilvl w:val="0"/>
          <w:numId w:val="2"/>
        </w:numPr>
      </w:pPr>
      <w:r>
        <w:t xml:space="preserve">Fonts to deploy: 4 corporate font families</w:t>
      </w:r>
    </w:p>
    <w:p>
      <w:pPr>
        <w:pStyle w:val="ListParagraph"/>
        <w:numPr>
          <w:ilvl w:val="0"/>
          <w:numId w:val="2"/>
        </w:numPr>
        <w:spacing w:after="120"/>
      </w:pPr>
      <w:r>
        <w:t xml:space="preserve">Deployment method: Intune Win32 app package</w:t>
      </w:r>
    </w:p>
    <w:p>
      <w:pPr>
        <w:pStyle w:val="Heading2"/>
      </w:pPr>
      <w:r>
        <w:t xml:space="preserve">22.3 Current Status</w:t>
      </w:r>
    </w:p>
    <w:p>
      <w:pPr>
        <w:pStyle w:val="ListParagraph"/>
        <w:numPr>
          <w:ilvl w:val="0"/>
          <w:numId w:val="2"/>
        </w:numPr>
      </w:pPr>
      <w:r>
        <w:t xml:space="preserve">Intune package created and tested</w:t>
      </w:r>
    </w:p>
    <w:p>
      <w:pPr>
        <w:pStyle w:val="ListParagraph"/>
        <w:numPr>
          <w:ilvl w:val="0"/>
          <w:numId w:val="2"/>
        </w:numPr>
      </w:pPr>
      <w:r>
        <w:t xml:space="preserve">Pilot deployment to 10 devices: successful</w:t>
      </w:r>
    </w:p>
    <w:p>
      <w:pPr>
        <w:pStyle w:val="ListParagraph"/>
        <w:numPr>
          <w:ilvl w:val="0"/>
          <w:numId w:val="2"/>
        </w:numPr>
        <w:spacing w:after="360"/>
      </w:pPr>
      <w:r>
        <w:t xml:space="preserve">Full rollout scheduled: March 2026</w:t>
      </w:r>
    </w:p>
    <w:p>
      <w:pPr>
        <w:spacing w:before="360" w:after="180"/>
        <w:jc w:val="center"/>
      </w:pPr>
      <w:r>
        <w:t xml:space="preserve">━━━━━━━━━━━━━━━━━━━━━━━━━━━━━━━━━━━━━━━━━━━━━━━━━━━━━━━━━━━━━━━━━━━━━━━━━</w:t>
      </w:r>
    </w:p>
    <w:p>
      <w:pPr>
        <w:spacing w:after="60"/>
        <w:jc w:val="center"/>
      </w:pPr>
      <w:r>
        <w:t xml:space="preserve">END OF INFRASTRUCTURE RUNBOOKS VERSION 4.3</w:t>
      </w:r>
      <w:r>
        <w:rPr>
          <w:b/>
          <w:bCs/>
          <w:sz w:val="24"/>
          <w:szCs w:val="24"/>
        </w:rPr>
        <w:t xml:space="preserve">END OF INFRASTRUCTURE RUNBOOKS VERSION 4.3</w:t>
      </w:r>
    </w:p>
    <w:p>
      <w:pPr>
        <w:jc w:val="center"/>
      </w:pPr>
      <w:r>
        <w:t xml:space="preserve">Last Updated: February 2026 | Classification: Internal Use Only</w:t>
      </w:r>
      <w:r>
        <w:rPr>
          <w:i/>
          <w:iCs/>
          <w:sz w:val="20"/>
          <w:szCs w:val="20"/>
        </w:rPr>
        <w:t xml:space="preserve">Last Updated: February 2026 | Classification: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18" w:space="5"/>
      </w:pBdr>
      <w:spacing w:before="360" w:after="240"/>
      <w:outlineLvl w:val="0"/>
    </w:pPr>
    <w:rPr>
      <w:rFonts w:ascii="Arial" w:cs="Arial" w:eastAsia="Arial" w:hAnsi="Arial"/>
      <w:b/>
      <w:bCs/>
      <w:color w:val="2E75B6"/>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2026-02-23T13:41:38.615Z</dcterms:created>
  <dcterms:modified xsi:type="dcterms:W3CDTF">2026-02-23T13:41:38.616Z</dcterms:modified>
</cp:coreProperties>
</file>

<file path=docProps/custom.xml><?xml version="1.0" encoding="utf-8"?>
<Properties xmlns="http://schemas.openxmlformats.org/officeDocument/2006/custom-properties" xmlns:vt="http://schemas.openxmlformats.org/officeDocument/2006/docPropsVTypes"/>
</file>