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8A" w:val="clear"/>
            <w:tcMar>
              <w:top w:type="dxa" w:w="200"/>
              <w:left w:type="dxa" w:w="360"/>
              <w:bottom w:type="dxa" w:w="200"/>
              <w:right w:type="dxa" w:w="360"/>
            </w:tcMar>
          </w:tcPr>
          <w:p>
            <w:pPr>
              <w:spacing w:before="40" w:after="40"/>
              <w:jc w:val="center"/>
            </w:pPr>
            <w:r>
              <w:rPr>
                <w:rFonts w:ascii="Arial" w:cs="Arial" w:eastAsia="Arial" w:hAnsi="Arial"/>
                <w:b/>
                <w:bCs/>
                <w:color w:val="FFFFFF"/>
                <w:sz w:val="28"/>
                <w:szCs w:val="28"/>
              </w:rPr>
              <w:t xml:space="preserve">PR #159 - AFD IMPLEMENTATION REVIEW</w:t>
            </w:r>
          </w:p>
          <w:p>
            <w:pPr>
              <w:spacing w:before="0" w:after="40"/>
              <w:jc w:val="center"/>
            </w:pPr>
            <w:r>
              <w:rPr>
                <w:rFonts w:ascii="Arial" w:cs="Arial" w:eastAsia="Arial" w:hAnsi="Arial"/>
                <w:color w:val="BFDBFE"/>
                <w:sz w:val="19"/>
                <w:szCs w:val="19"/>
              </w:rPr>
              <w:t xml:space="preserve">drivers-health-api | Azure Front Door | IT Sign-Off | March 31, 2026</w:t>
            </w:r>
          </w:p>
        </w:tc>
      </w:tr>
    </w:tbl>
    <w:p>
      <w:pPr>
        <w:spacing w:before="120" w:after="8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PR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afd implementation #159</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Branch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techdebt/MYPYX-93-afd into main</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Review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31, 2026</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Reviewed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Syed Rizvi - IT Infrastructure Lead</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Files Changed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files across Terraform modules</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sz w:val="20"/>
                <w:szCs w:val="20"/>
              </w:rPr>
              <w:t xml:space="preserve">Overall Status</w:t>
            </w:r>
          </w:p>
        </w:tc>
        <w:tc>
          <w:tcPr>
            <w:tcW w:type="dxa" w:w="65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APPROVED WITH ONE REQUIRED CHANGE</w:t>
            </w:r>
          </w:p>
        </w:tc>
      </w:tr>
    </w:tbl>
    <w:p>
      <w:pPr>
        <w:spacing w:before="160" w:after="80"/>
        <w:jc w:val="left"/>
      </w:pPr>
      <w:r>
        <w:rPr>
          <w:rFonts w:ascii="Arial" w:cs="Arial" w:eastAsia="Arial" w:hAnsi="Arial"/>
          <w:b w:val="false"/>
          <w:bCs w:val="false"/>
          <w:i w:val="false"/>
          <w:iCs w:val="false"/>
          <w:color w:val="000000"/>
          <w:sz w:val="22"/>
          <w:szCs w:val="22"/>
        </w:rPr>
        <w:t xml:space="preserve"/>
      </w:r>
    </w:p>
    <w:p>
      <w:pPr>
        <w:pBdr>
          <w:bottom w:val="single" w:color="1E3A8A" w:sz="6" w:space="4"/>
        </w:pBdr>
        <w:spacing w:before="220" w:after="100"/>
      </w:pPr>
      <w:r>
        <w:rPr>
          <w:rFonts w:ascii="Arial" w:cs="Arial" w:eastAsia="Arial" w:hAnsi="Arial"/>
          <w:b/>
          <w:bCs/>
          <w:color w:val="1E3A8A"/>
          <w:sz w:val="24"/>
          <w:szCs w:val="24"/>
        </w:rPr>
        <w:t xml:space="preserve">WHAT THIS PR DOES</w:t>
      </w:r>
    </w:p>
    <w:p>
      <w:pPr>
        <w:spacing w:before="80" w:after="100"/>
        <w:jc w:val="left"/>
      </w:pPr>
      <w:r>
        <w:rPr>
          <w:rFonts w:ascii="Arial" w:cs="Arial" w:eastAsia="Arial" w:hAnsi="Arial"/>
          <w:b w:val="false"/>
          <w:bCs w:val="false"/>
          <w:i w:val="false"/>
          <w:iCs w:val="false"/>
          <w:color w:val="000000"/>
          <w:sz w:val="22"/>
          <w:szCs w:val="22"/>
        </w:rPr>
        <w:t xml:space="preserve">This PR adds Azure Front Door in front of the HiPyx Application API (drivers_health App Service). It creates a new reusable Terraform module called front_door that provisions the full AFD stack and wires it conditionally into the existing infrastructure.</w:t>
      </w:r>
    </w:p>
    <w:p>
      <w:pPr>
        <w:spacing w:before="80" w:after="60"/>
        <w:jc w:val="left"/>
      </w:pPr>
      <w:r>
        <w:rPr>
          <w:rFonts w:ascii="Arial" w:cs="Arial" w:eastAsia="Arial" w:hAnsi="Arial"/>
          <w:b/>
          <w:bCs/>
          <w:i w:val="false"/>
          <w:iCs w:val="false"/>
          <w:color w:val="000000"/>
          <w:sz w:val="22"/>
          <w:szCs w:val="22"/>
        </w:rPr>
        <w:t xml:space="preserve">Components being deployed:</w:t>
      </w:r>
    </w:p>
    <w:p>
      <w:pPr>
        <w:pStyle w:val="ListParagraph"/>
        <w:numPr>
          <w:ilvl w:val="0"/>
          <w:numId w:val="2"/>
        </w:numPr>
        <w:spacing w:before="60" w:after="60"/>
      </w:pPr>
      <w:r>
        <w:rPr>
          <w:rFonts w:ascii="Arial" w:cs="Arial" w:eastAsia="Arial" w:hAnsi="Arial"/>
          <w:sz w:val="21"/>
          <w:szCs w:val="21"/>
        </w:rPr>
        <w:t xml:space="preserve">AFD Profile with Standard_AzureFrontDoor SKU</w:t>
      </w:r>
    </w:p>
    <w:p>
      <w:pPr>
        <w:pStyle w:val="ListParagraph"/>
        <w:numPr>
          <w:ilvl w:val="0"/>
          <w:numId w:val="2"/>
        </w:numPr>
        <w:spacing w:before="60" w:after="60"/>
      </w:pPr>
      <w:r>
        <w:rPr>
          <w:rFonts w:ascii="Arial" w:cs="Arial" w:eastAsia="Arial" w:hAnsi="Arial"/>
          <w:sz w:val="21"/>
          <w:szCs w:val="21"/>
        </w:rPr>
        <w:t xml:space="preserve">AFD Endpoint with enable = true</w:t>
      </w:r>
    </w:p>
    <w:p>
      <w:pPr>
        <w:pStyle w:val="ListParagraph"/>
        <w:numPr>
          <w:ilvl w:val="0"/>
          <w:numId w:val="2"/>
        </w:numPr>
        <w:spacing w:before="60" w:after="60"/>
      </w:pPr>
      <w:r>
        <w:rPr>
          <w:rFonts w:ascii="Arial" w:cs="Arial" w:eastAsia="Arial" w:hAnsi="Arial"/>
          <w:sz w:val="21"/>
          <w:szCs w:val="21"/>
        </w:rPr>
        <w:t xml:space="preserve">Origin Group with health probing every 120 seconds on /health/</w:t>
      </w:r>
    </w:p>
    <w:p>
      <w:pPr>
        <w:pStyle w:val="ListParagraph"/>
        <w:numPr>
          <w:ilvl w:val="0"/>
          <w:numId w:val="2"/>
        </w:numPr>
        <w:spacing w:before="60" w:after="60"/>
      </w:pPr>
      <w:r>
        <w:rPr>
          <w:rFonts w:ascii="Arial" w:cs="Arial" w:eastAsia="Arial" w:hAnsi="Arial"/>
          <w:sz w:val="21"/>
          <w:szCs w:val="21"/>
        </w:rPr>
        <w:t xml:space="preserve">Origin pointing to the App Service default hostname</w:t>
      </w:r>
    </w:p>
    <w:p>
      <w:pPr>
        <w:pStyle w:val="ListParagraph"/>
        <w:numPr>
          <w:ilvl w:val="0"/>
          <w:numId w:val="2"/>
        </w:numPr>
        <w:spacing w:before="60" w:after="60"/>
      </w:pPr>
      <w:r>
        <w:rPr>
          <w:rFonts w:ascii="Arial" w:cs="Arial" w:eastAsia="Arial" w:hAnsi="Arial"/>
          <w:sz w:val="21"/>
          <w:szCs w:val="21"/>
        </w:rPr>
        <w:t xml:space="preserve">Catch-all route with HTTPS-only forwarding and HTTP to HTTPS redirect</w:t>
      </w:r>
    </w:p>
    <w:p>
      <w:pPr>
        <w:pStyle w:val="ListParagraph"/>
        <w:numPr>
          <w:ilvl w:val="0"/>
          <w:numId w:val="2"/>
        </w:numPr>
        <w:spacing w:before="60" w:after="60"/>
      </w:pPr>
      <w:r>
        <w:rPr>
          <w:rFonts w:ascii="Arial" w:cs="Arial" w:eastAsia="Arial" w:hAnsi="Arial"/>
          <w:sz w:val="21"/>
          <w:szCs w:val="21"/>
        </w:rPr>
        <w:t xml:space="preserve">Conditional deployment via enable_front_door flag per environment</w:t>
      </w:r>
    </w:p>
    <w:p>
      <w:pPr>
        <w:pStyle w:val="ListParagraph"/>
        <w:numPr>
          <w:ilvl w:val="0"/>
          <w:numId w:val="2"/>
        </w:numPr>
        <w:spacing w:before="60" w:after="60"/>
      </w:pPr>
      <w:r>
        <w:rPr>
          <w:rFonts w:ascii="Arial" w:cs="Arial" w:eastAsia="Arial" w:hAnsi="Arial"/>
          <w:sz w:val="21"/>
          <w:szCs w:val="21"/>
        </w:rPr>
        <w:t xml:space="preserve">All 3 environments enabled - sandbox, staging, production</w:t>
      </w:r>
    </w:p>
    <w:p>
      <w:pPr>
        <w:spacing w:before="120" w:after="80"/>
        <w:jc w:val="left"/>
      </w:pPr>
      <w:r>
        <w:rPr>
          <w:rFonts w:ascii="Arial" w:cs="Arial" w:eastAsia="Arial" w:hAnsi="Arial"/>
          <w:b w:val="false"/>
          <w:bCs w:val="false"/>
          <w:i w:val="false"/>
          <w:iCs w:val="false"/>
          <w:color w:val="000000"/>
          <w:sz w:val="22"/>
          <w:szCs w:val="22"/>
        </w:rPr>
        <w:t xml:space="preserve"/>
      </w:r>
    </w:p>
    <w:p>
      <w:pPr>
        <w:pBdr>
          <w:bottom w:val="single" w:color="1E3A8A" w:sz="6" w:space="4"/>
        </w:pBdr>
        <w:spacing w:before="220" w:after="100"/>
      </w:pPr>
      <w:r>
        <w:rPr>
          <w:rFonts w:ascii="Arial" w:cs="Arial" w:eastAsia="Arial" w:hAnsi="Arial"/>
          <w:b/>
          <w:bCs/>
          <w:color w:val="1E3A8A"/>
          <w:sz w:val="24"/>
          <w:szCs w:val="24"/>
        </w:rPr>
        <w:t xml:space="preserve">FULL CODE REVIEW CHECKLIST</w:t>
      </w:r>
    </w:p>
    <w:p>
      <w:pPr>
        <w:spacing w:before="80" w:after="4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c>
          <w:tcPr>
            <w:tcW w:type="dxa" w:w="4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Item Reviewed</w:t>
            </w:r>
          </w:p>
        </w:tc>
        <w:tc>
          <w:tcPr>
            <w:tcW w:type="dxa" w:w="16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376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HTTPS-only forwarding protocol</w:t>
            </w:r>
          </w:p>
        </w:tc>
        <w:tc>
          <w:tcPr>
            <w:tcW w:type="dxa" w:w="160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tcPr>
          <w:p>
            <w:pPr>
              <w:jc w:val="center"/>
            </w:pPr>
            <w:r>
              <w:rPr>
                <w:rFonts w:ascii="Arial" w:cs="Arial" w:eastAsia="Arial" w:hAnsi="Arial"/>
                <w:b/>
                <w:bCs/>
                <w:color w:val="065F46"/>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forwarding_protocol = HttpsOnly - correctly enforces HTTPS end to 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HTTP to HTTPS redirect</w:t>
            </w:r>
          </w:p>
        </w:tc>
        <w:tc>
          <w:tcPr>
            <w:tcW w:type="dxa" w:w="160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tcPr>
          <w:p>
            <w:pPr>
              <w:jc w:val="center"/>
            </w:pPr>
            <w:r>
              <w:rPr>
                <w:rFonts w:ascii="Arial" w:cs="Arial" w:eastAsia="Arial" w:hAnsi="Arial"/>
                <w:b/>
                <w:bCs/>
                <w:color w:val="065F46"/>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https_redirect_enabled = true - all HTTP traffic redirected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Certificate name check</w:t>
            </w:r>
          </w:p>
        </w:tc>
        <w:tc>
          <w:tcPr>
            <w:tcW w:type="dxa" w:w="160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tcPr>
          <w:p>
            <w:pPr>
              <w:jc w:val="center"/>
            </w:pPr>
            <w:r>
              <w:rPr>
                <w:rFonts w:ascii="Arial" w:cs="Arial" w:eastAsia="Arial" w:hAnsi="Arial"/>
                <w:b/>
                <w:bCs/>
                <w:color w:val="065F46"/>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certificate_name_check_enabled = true - validates SSL on origin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Health probe configuration</w:t>
            </w:r>
          </w:p>
        </w:tc>
        <w:tc>
          <w:tcPr>
            <w:tcW w:type="dxa" w:w="160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tcPr>
          <w:p>
            <w:pPr>
              <w:jc w:val="center"/>
            </w:pPr>
            <w:r>
              <w:rPr>
                <w:rFonts w:ascii="Arial" w:cs="Arial" w:eastAsia="Arial" w:hAnsi="Arial"/>
                <w:b/>
                <w:bCs/>
                <w:color w:val="065F46"/>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Probing /health/ every 120 seconds via HTTPS GET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Conditional deployment flag</w:t>
            </w:r>
          </w:p>
        </w:tc>
        <w:tc>
          <w:tcPr>
            <w:tcW w:type="dxa" w:w="160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tcPr>
          <w:p>
            <w:pPr>
              <w:jc w:val="center"/>
            </w:pPr>
            <w:r>
              <w:rPr>
                <w:rFonts w:ascii="Arial" w:cs="Arial" w:eastAsia="Arial" w:hAnsi="Arial"/>
                <w:b/>
                <w:bCs/>
                <w:color w:val="065F46"/>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enable_front_door per environment - can disable without destroying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Environment configurations</w:t>
            </w:r>
          </w:p>
        </w:tc>
        <w:tc>
          <w:tcPr>
            <w:tcW w:type="dxa" w:w="160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tcPr>
          <w:p>
            <w:pPr>
              <w:jc w:val="center"/>
            </w:pPr>
            <w:r>
              <w:rPr>
                <w:rFonts w:ascii="Arial" w:cs="Arial" w:eastAsia="Arial" w:hAnsi="Arial"/>
                <w:b/>
                <w:bCs/>
                <w:color w:val="065F46"/>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All 3 environments sandbox, staging, production correctly 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Origin pointing to App Service</w:t>
            </w:r>
          </w:p>
        </w:tc>
        <w:tc>
          <w:tcPr>
            <w:tcW w:type="dxa" w:w="160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tcPr>
          <w:p>
            <w:pPr>
              <w:jc w:val="center"/>
            </w:pPr>
            <w:r>
              <w:rPr>
                <w:rFonts w:ascii="Arial" w:cs="Arial" w:eastAsia="Arial" w:hAnsi="Arial"/>
                <w:b/>
                <w:bCs/>
                <w:color w:val="065F46"/>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origin_host_name = module.app_service.default_hostname - correct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Terraform module structure</w:t>
            </w:r>
          </w:p>
        </w:tc>
        <w:tc>
          <w:tcPr>
            <w:tcW w:type="dxa" w:w="160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tcPr>
          <w:p>
            <w:pPr>
              <w:jc w:val="center"/>
            </w:pPr>
            <w:r>
              <w:rPr>
                <w:rFonts w:ascii="Arial" w:cs="Arial" w:eastAsia="Arial" w:hAnsi="Arial"/>
                <w:b/>
                <w:bCs/>
                <w:color w:val="065F46"/>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Clean reusable module with proper variables, outputs, and resources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Tags applied</w:t>
            </w:r>
          </w:p>
        </w:tc>
        <w:tc>
          <w:tcPr>
            <w:tcW w:type="dxa" w:w="1600"/>
            <w:tcBorders>
              <w:top w:val="single" w:color="CCCCCC" w:sz="1"/>
              <w:left w:val="single" w:color="CCCCCC" w:sz="1"/>
              <w:bottom w:val="single" w:color="CCCCCC" w:sz="1"/>
              <w:right w:val="single" w:color="CCCCCC" w:sz="1"/>
            </w:tcBorders>
            <w:shd w:fill="D1FAE5" w:val="clear"/>
            <w:tcMar>
              <w:top w:type="dxa" w:w="100"/>
              <w:left w:type="dxa" w:w="140"/>
              <w:bottom w:type="dxa" w:w="100"/>
              <w:right w:type="dxa" w:w="140"/>
            </w:tcMar>
          </w:tcPr>
          <w:p>
            <w:pPr>
              <w:jc w:val="center"/>
            </w:pPr>
            <w:r>
              <w:rPr>
                <w:rFonts w:ascii="Arial" w:cs="Arial" w:eastAsia="Arial" w:hAnsi="Arial"/>
                <w:b/>
                <w:bCs/>
                <w:color w:val="065F46"/>
                <w:sz w:val="20"/>
                <w:szCs w:val="20"/>
              </w:rPr>
              <w:t xml:space="preserve">PASS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Environment and Project tags applied to all AFD resources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WAF Policy - SKU Tier</w:t>
            </w:r>
          </w:p>
        </w:tc>
        <w:tc>
          <w:tcPr>
            <w:tcW w:type="dxa" w:w="160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pPr>
              <w:jc w:val="center"/>
            </w:pPr>
            <w:r>
              <w:rPr>
                <w:rFonts w:ascii="Arial" w:cs="Arial" w:eastAsia="Arial" w:hAnsi="Arial"/>
                <w:b/>
                <w:bCs/>
                <w:color w:val="991B1B"/>
                <w:sz w:val="20"/>
                <w:szCs w:val="20"/>
              </w:rPr>
              <w:t xml:space="preserve">CHANGE REQUIRED</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9"/>
                <w:szCs w:val="19"/>
              </w:rPr>
              <w:t xml:space="preserve">Standard tier does NOT include WAF. Must upgrade to Premium for HIPAA</w:t>
            </w:r>
          </w:p>
        </w:tc>
      </w:tr>
    </w:tbl>
    <w:p>
      <w:pPr>
        <w:spacing w:before="160" w:after="8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6"/>
              <w:left w:val="single" w:color="991B1B" w:sz="16"/>
              <w:bottom w:val="single" w:color="991B1B" w:sz="6"/>
              <w:right w:val="single" w:color="991B1B" w:sz="6"/>
            </w:tcBorders>
            <w:shd w:fill="FEE2E2" w:val="clear"/>
            <w:tcMar>
              <w:top w:type="dxa" w:w="160"/>
              <w:left w:type="dxa" w:w="240"/>
              <w:bottom w:type="dxa" w:w="160"/>
              <w:right w:type="dxa" w:w="240"/>
            </w:tcMar>
          </w:tcPr>
          <w:p>
            <w:r>
              <w:rPr>
                <w:rFonts w:ascii="Arial" w:cs="Arial" w:eastAsia="Arial" w:hAnsi="Arial"/>
                <w:b/>
                <w:bCs/>
                <w:color w:val="991B1B"/>
                <w:sz w:val="24"/>
                <w:szCs w:val="24"/>
              </w:rPr>
              <w:t xml:space="preserve">REQUIRED CHANGE - Must Fix Before Merge</w:t>
            </w:r>
          </w:p>
          <w:p>
            <w:pPr>
              <w:spacing w:before="80" w:after="0"/>
            </w:pPr>
            <w:r>
              <w:rPr>
                <w:rFonts w:ascii="Arial" w:cs="Arial" w:eastAsia="Arial" w:hAnsi="Arial"/>
                <w:color w:val="991B1B"/>
                <w:sz w:val="20"/>
                <w:szCs w:val="20"/>
              </w:rPr>
              <w:t xml:space="preserve">WAF (Web Application Firewall) is required for HIPAA compliance and is NOT included in Standard AFD tier. Must upgrade to Premium_AzureFrontDoor.</w:t>
            </w:r>
          </w:p>
        </w:tc>
      </w:tr>
    </w:tbl>
    <w:p>
      <w:pPr>
        <w:spacing w:before="120" w:after="80"/>
        <w:jc w:val="left"/>
      </w:pPr>
      <w:r>
        <w:rPr>
          <w:rFonts w:ascii="Arial" w:cs="Arial" w:eastAsia="Arial" w:hAnsi="Arial"/>
          <w:b w:val="false"/>
          <w:bCs w:val="false"/>
          <w:i w:val="false"/>
          <w:iCs w:val="false"/>
          <w:color w:val="000000"/>
          <w:sz w:val="22"/>
          <w:szCs w:val="22"/>
        </w:rPr>
        <w:t xml:space="preserve"/>
      </w:r>
    </w:p>
    <w:p>
      <w:pPr>
        <w:pBdr>
          <w:bottom w:val="single" w:color="991B1B" w:sz="6" w:space="4"/>
        </w:pBdr>
        <w:spacing w:before="220" w:after="100"/>
      </w:pPr>
      <w:r>
        <w:rPr>
          <w:rFonts w:ascii="Arial" w:cs="Arial" w:eastAsia="Arial" w:hAnsi="Arial"/>
          <w:b/>
          <w:bCs/>
          <w:color w:val="991B1B"/>
          <w:sz w:val="24"/>
          <w:szCs w:val="24"/>
        </w:rPr>
        <w:t xml:space="preserve">REQUIRED CHANGE - SKU UPGRADE</w:t>
      </w:r>
    </w:p>
    <w:p>
      <w:pPr>
        <w:spacing w:before="80" w:after="40"/>
        <w:jc w:val="left"/>
      </w:pPr>
      <w:r>
        <w:rPr>
          <w:rFonts w:ascii="Arial" w:cs="Arial" w:eastAsia="Arial" w:hAnsi="Arial"/>
          <w:b/>
          <w:bCs/>
          <w:i w:val="false"/>
          <w:iCs w:val="false"/>
          <w:color w:val="991B1B"/>
          <w:sz w:val="22"/>
          <w:szCs w:val="22"/>
        </w:rPr>
        <w:t xml:space="preserve">Current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86EFAC"/>
                <w:sz w:val="18"/>
                <w:szCs w:val="18"/>
              </w:rPr>
              <w:t xml:space="preserve">sku_name = "Standard_AzureFrontDoor"   // No WAF included</w:t>
            </w:r>
          </w:p>
        </w:tc>
      </w:tr>
    </w:tbl>
    <w:p>
      <w:pPr>
        <w:spacing w:before="100" w:after="40"/>
        <w:jc w:val="left"/>
      </w:pPr>
      <w:r>
        <w:rPr>
          <w:rFonts w:ascii="Arial" w:cs="Arial" w:eastAsia="Arial" w:hAnsi="Arial"/>
          <w:b/>
          <w:bCs/>
          <w:i w:val="false"/>
          <w:iCs w:val="false"/>
          <w:color w:val="065F46"/>
          <w:sz w:val="22"/>
          <w:szCs w:val="22"/>
        </w:rPr>
        <w:t xml:space="preserve">Required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120"/>
              <w:left w:type="dxa" w:w="200"/>
              <w:bottom w:type="dxa" w:w="120"/>
              <w:right w:type="dxa" w:w="200"/>
            </w:tcMar>
          </w:tcPr>
          <w:p>
            <w:pPr>
              <w:spacing w:before="20" w:after="20"/>
            </w:pPr>
            <w:r>
              <w:rPr>
                <w:rFonts w:ascii="Courier New" w:cs="Courier New" w:eastAsia="Courier New" w:hAnsi="Courier New"/>
                <w:color w:val="86EFAC"/>
                <w:sz w:val="18"/>
                <w:szCs w:val="18"/>
              </w:rPr>
              <w:t xml:space="preserve">sku_name = "Premium_AzureFrontDoor"    // WAF included - HIPAA compliant</w:t>
            </w:r>
          </w:p>
        </w:tc>
      </w:tr>
    </w:tbl>
    <w:p>
      <w:pPr>
        <w:spacing w:before="80" w:after="80"/>
        <w:jc w:val="left"/>
      </w:pPr>
      <w:r>
        <w:rPr>
          <w:rFonts w:ascii="Arial" w:cs="Arial" w:eastAsia="Arial" w:hAnsi="Arial"/>
          <w:b w:val="false"/>
          <w:bCs w:val="false"/>
          <w:i w:val="false"/>
          <w:iCs w:val="false"/>
          <w:color w:val="000000"/>
          <w:sz w:val="22"/>
          <w:szCs w:val="22"/>
        </w:rPr>
        <w:t xml:space="preserve"/>
      </w:r>
    </w:p>
    <w:p>
      <w:pPr>
        <w:spacing w:before="80" w:after="60"/>
        <w:jc w:val="left"/>
      </w:pPr>
      <w:r>
        <w:rPr>
          <w:rFonts w:ascii="Arial" w:cs="Arial" w:eastAsia="Arial" w:hAnsi="Arial"/>
          <w:b/>
          <w:bCs/>
          <w:i w:val="false"/>
          <w:iCs w:val="false"/>
          <w:color w:val="000000"/>
          <w:sz w:val="22"/>
          <w:szCs w:val="22"/>
        </w:rPr>
        <w:t xml:space="preserve">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 - Current</w:t>
            </w:r>
          </w:p>
        </w:tc>
        <w:tc>
          <w:tcPr>
            <w:tcW w:type="dxa" w:w="3180"/>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Premium - Required</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Global CDN and Load Balancing</w:t>
            </w:r>
          </w:p>
        </w:tc>
        <w:tc>
          <w:tcPr>
            <w:tcW w:type="dxa" w:w="31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YES</w:t>
            </w:r>
          </w:p>
        </w:tc>
        <w:tc>
          <w:tcPr>
            <w:tcW w:type="dxa" w:w="31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 and HTTP Redirect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YES</w:t>
            </w:r>
          </w:p>
        </w:tc>
        <w:tc>
          <w:tcPr>
            <w:tcW w:type="dxa" w:w="31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Health Probing</w:t>
            </w:r>
          </w:p>
        </w:tc>
        <w:tc>
          <w:tcPr>
            <w:tcW w:type="dxa" w:w="31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YES</w:t>
            </w:r>
          </w:p>
        </w:tc>
        <w:tc>
          <w:tcPr>
            <w:tcW w:type="dxa" w:w="31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Application Firewall</w:t>
            </w:r>
          </w:p>
        </w:tc>
        <w:tc>
          <w:tcPr>
            <w:tcW w:type="dxa" w:w="31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31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OWASP Rule Sets</w:t>
            </w:r>
          </w:p>
        </w:tc>
        <w:tc>
          <w:tcPr>
            <w:tcW w:type="dxa" w:w="31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31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 Protection</w:t>
            </w:r>
          </w:p>
        </w:tc>
        <w:tc>
          <w:tcPr>
            <w:tcW w:type="dxa" w:w="31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31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HIPAA Compliant</w:t>
            </w:r>
          </w:p>
        </w:tc>
        <w:tc>
          <w:tcPr>
            <w:tcW w:type="dxa" w:w="31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NO</w:t>
            </w:r>
          </w:p>
        </w:tc>
        <w:tc>
          <w:tcPr>
            <w:tcW w:type="dxa" w:w="318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20"/>
                <w:szCs w:val="20"/>
              </w:rPr>
              <w:t xml:space="preserve">YES</w:t>
            </w:r>
          </w:p>
        </w:tc>
      </w:tr>
    </w:tbl>
    <w:p>
      <w:pPr>
        <w:spacing w:before="120" w:after="80"/>
        <w:jc w:val="left"/>
      </w:pPr>
      <w:r>
        <w:rPr>
          <w:rFonts w:ascii="Arial" w:cs="Arial" w:eastAsia="Arial" w:hAnsi="Arial"/>
          <w:b w:val="false"/>
          <w:bCs w:val="false"/>
          <w:i w:val="false"/>
          <w:iCs w:val="false"/>
          <w:color w:val="000000"/>
          <w:sz w:val="22"/>
          <w:szCs w:val="22"/>
        </w:rPr>
        <w:t xml:space="preserve"/>
      </w:r>
    </w:p>
    <w:p>
      <w:pPr>
        <w:spacing w:before="80" w:after="80"/>
        <w:jc w:val="left"/>
      </w:pPr>
      <w:r>
        <w:rPr>
          <w:rFonts w:ascii="Arial" w:cs="Arial" w:eastAsia="Arial" w:hAnsi="Arial"/>
          <w:b w:val="false"/>
          <w:bCs w:val="false"/>
          <w:i w:val="false"/>
          <w:iCs w:val="false"/>
          <w:color w:val="374151"/>
          <w:sz w:val="22"/>
          <w:szCs w:val="22"/>
        </w:rPr>
        <w:t xml:space="preserve">The HiPyx Application API handles patient data. Under HIPAA and HITRUST all patient-facing API endpoints must be protected by a WAF. Without WAF the API is exposed to OWASP Top 10 attacks including SQL injection, XSS, and bot attacks. Premium is the only AFD tier that includes WAF and is required for any HIPAA-covered workload.</w:t>
      </w:r>
    </w:p>
    <w:p>
      <w:pPr>
        <w:spacing w:before="120" w:after="8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8A" w:val="clear"/>
            <w:tcMar>
              <w:top w:type="dxa" w:w="160"/>
              <w:left w:type="dxa" w:w="280"/>
              <w:bottom w:type="dxa" w:w="160"/>
              <w:right w:type="dxa" w:w="280"/>
            </w:tcMar>
          </w:tcPr>
          <w:p>
            <w:r>
              <w:rPr>
                <w:rFonts w:ascii="Arial" w:cs="Arial" w:eastAsia="Arial" w:hAnsi="Arial"/>
                <w:b/>
                <w:bCs/>
                <w:color w:val="FFFFFF"/>
                <w:sz w:val="24"/>
                <w:szCs w:val="24"/>
              </w:rPr>
              <w:t xml:space="preserve">IT SIGN-OFF DECISION</w:t>
            </w:r>
          </w:p>
          <w:p>
            <w:pPr>
              <w:spacing w:before="80" w:after="0"/>
            </w:pPr>
            <w:r>
              <w:rPr>
                <w:rFonts w:ascii="Arial" w:cs="Arial" w:eastAsia="Arial" w:hAnsi="Arial"/>
                <w:color w:val="BFDBFE"/>
                <w:sz w:val="20"/>
                <w:szCs w:val="20"/>
              </w:rPr>
              <w:t xml:space="preserve">APPROVED WITH ONE REQUIRED CHANGE. Update SKU from Standard_AzureFrontDoor to Premium_AzureFrontDoor in all environment configs for HIPAA WAF compliance. All other items reviewed and approved. Once SKU change is made this PR is clear to merge.</w:t>
            </w:r>
          </w:p>
        </w:tc>
      </w:tr>
    </w:tbl>
    <w:p>
      <w:pPr>
        <w:spacing w:before="160" w:after="80"/>
        <w:jc w:val="left"/>
      </w:pPr>
      <w:r>
        <w:rPr>
          <w:rFonts w:ascii="Arial" w:cs="Arial" w:eastAsia="Arial" w:hAnsi="Arial"/>
          <w:b w:val="false"/>
          <w:bCs w:val="false"/>
          <w:i w:val="false"/>
          <w:iCs w:val="false"/>
          <w:color w:val="000000"/>
          <w:sz w:val="22"/>
          <w:szCs w:val="22"/>
        </w:rPr>
        <w:t xml:space="preserve"/>
      </w:r>
    </w:p>
    <w:p>
      <w:pPr>
        <w:pBdr>
          <w:top w:val="single" w:color="CCCCCC" w:sz="4" w:space="8"/>
        </w:pBdr>
        <w:spacing w:before="80" w:after="80"/>
      </w:pPr>
      <w:r>
        <w:rPr>
          <w:rFonts w:ascii="Arial" w:cs="Arial" w:eastAsia="Arial" w:hAnsi="Arial"/>
          <w:i/>
          <w:iCs/>
          <w:color w:val="9CA3AF"/>
          <w:sz w:val="16"/>
          <w:szCs w:val="16"/>
        </w:rPr>
        <w:t xml:space="preserve">Prepared by Syed Rizvi | IT Infrastructure Lead | PYX Health | March 31, 2026 | CONFIDENTIAL - Internal Use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2026-03-31T19:52:35.658Z</dcterms:created>
  <dcterms:modified xsi:type="dcterms:W3CDTF">2026-03-31T19:52:35.658Z</dcterms:modified>
</cp:coreProperties>
</file>

<file path=docProps/custom.xml><?xml version="1.0" encoding="utf-8"?>
<Properties xmlns="http://schemas.openxmlformats.org/officeDocument/2006/custom-properties" xmlns:vt="http://schemas.openxmlformats.org/officeDocument/2006/docPropsVTypes"/>
</file>