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Orders — Data Quality Contract</w:t>
      </w:r>
    </w:p>
    <w:p>
      <w:r>
        <w:t>Purpose: Define the minimum quality required before retail KPIs are published or used for decisions.</w:t>
      </w:r>
    </w:p>
    <w:p>
      <w:pPr>
        <w:pStyle w:val="Heading1"/>
      </w:pPr>
      <w:r>
        <w:t>Decision owner</w:t>
      </w:r>
    </w:p>
    <w:p>
      <w:r>
        <w:t>Primary: Retail/Sales Manager. Finance owns revenue reconciliation.</w:t>
      </w:r>
    </w:p>
    <w:p>
      <w:pPr>
        <w:pStyle w:val="Heading1"/>
      </w:pPr>
      <w:r>
        <w:t>Critical data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Failure action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Required and unique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Block KPI publication; investigate duplicates.</w:t>
            </w:r>
          </w:p>
        </w:tc>
      </w:tr>
      <w:tr>
        <w:tc>
          <w:tcPr>
            <w:tcW w:type="dxa" w:w="2160"/>
          </w:tcPr>
          <w:p>
            <w:r>
              <w:t>order_date</w:t>
            </w:r>
          </w:p>
        </w:tc>
        <w:tc>
          <w:tcPr>
            <w:tcW w:type="dxa" w:w="2160"/>
          </w:tcPr>
          <w:p>
            <w:r>
              <w:t>Valid ISO YYYY-MM-DD</w:t>
            </w:r>
          </w:p>
        </w:tc>
        <w:tc>
          <w:tcPr>
            <w:tcW w:type="dxa" w:w="2160"/>
          </w:tcPr>
          <w:p>
            <w:r>
              <w:t>≥99%</w:t>
            </w:r>
          </w:p>
        </w:tc>
        <w:tc>
          <w:tcPr>
            <w:tcW w:type="dxa" w:w="2160"/>
          </w:tcPr>
          <w:p>
            <w:r>
              <w:t>Block date-based KPIs; correct source date.</w:t>
            </w:r>
          </w:p>
        </w:tc>
      </w:tr>
      <w:tr>
        <w:tc>
          <w:tcPr>
            <w:tcW w:type="dxa" w:w="2160"/>
          </w:tcPr>
          <w:p>
            <w:r>
              <w:t>customer_segment</w:t>
            </w:r>
          </w:p>
        </w:tc>
        <w:tc>
          <w:tcPr>
            <w:tcW w:type="dxa" w:w="2160"/>
          </w:tcPr>
          <w:p>
            <w:r>
              <w:t>Student/Fresher/Professional after normalization</w:t>
            </w:r>
          </w:p>
        </w:tc>
        <w:tc>
          <w:tcPr>
            <w:tcW w:type="dxa" w:w="2160"/>
          </w:tcPr>
          <w:p>
            <w:r>
              <w:t>≥99%</w:t>
            </w:r>
          </w:p>
        </w:tc>
        <w:tc>
          <w:tcPr>
            <w:tcW w:type="dxa" w:w="2160"/>
          </w:tcPr>
          <w:p>
            <w:r>
              <w:t>Normalize; escalate remaining invalid values.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Required non-empty text</w:t>
            </w:r>
          </w:p>
        </w:tc>
        <w:tc>
          <w:tcPr>
            <w:tcW w:type="dxa" w:w="2160"/>
          </w:tcPr>
          <w:p>
            <w:r>
              <w:t>≥99%</w:t>
            </w:r>
          </w:p>
        </w:tc>
        <w:tc>
          <w:tcPr>
            <w:tcW w:type="dxa" w:w="2160"/>
          </w:tcPr>
          <w:p>
            <w:r>
              <w:t>Fix from source or exclude geography KPIs.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Learning Kit/Course Access/Mentor Session</w:t>
            </w:r>
          </w:p>
        </w:tc>
        <w:tc>
          <w:tcPr>
            <w:tcW w:type="dxa" w:w="2160"/>
          </w:tcPr>
          <w:p>
            <w:r>
              <w:t>≥99%</w:t>
            </w:r>
          </w:p>
        </w:tc>
        <w:tc>
          <w:tcPr>
            <w:tcW w:type="dxa" w:w="2160"/>
          </w:tcPr>
          <w:p>
            <w:r>
              <w:t>Correct mapping or exclude.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Whole number &gt; 0</w:t>
            </w:r>
          </w:p>
        </w:tc>
        <w:tc>
          <w:tcPr>
            <w:tcW w:type="dxa" w:w="2160"/>
          </w:tcPr>
          <w:p>
            <w:r>
              <w:t>100% for revenue KPIs</w:t>
            </w:r>
          </w:p>
        </w:tc>
        <w:tc>
          <w:tcPr>
            <w:tcW w:type="dxa" w:w="2160"/>
          </w:tcPr>
          <w:p>
            <w:r>
              <w:t>Block revenue/unit KPIs.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Non-negative INR amount</w:t>
            </w:r>
          </w:p>
        </w:tc>
        <w:tc>
          <w:tcPr>
            <w:tcW w:type="dxa" w:w="2160"/>
          </w:tcPr>
          <w:p>
            <w:r>
              <w:t>100% for revenue KPIs</w:t>
            </w:r>
          </w:p>
        </w:tc>
        <w:tc>
          <w:tcPr>
            <w:tcW w:type="dxa" w:w="2160"/>
          </w:tcPr>
          <w:p>
            <w:r>
              <w:t>Block revenue KPIs.</w:t>
            </w:r>
          </w:p>
        </w:tc>
      </w:tr>
      <w:tr>
        <w:tc>
          <w:tcPr>
            <w:tcW w:type="dxa" w:w="2160"/>
          </w:tcPr>
          <w:p>
            <w:r>
              <w:t>discount_pct</w:t>
            </w:r>
          </w:p>
        </w:tc>
        <w:tc>
          <w:tcPr>
            <w:tcW w:type="dxa" w:w="2160"/>
          </w:tcPr>
          <w:p>
            <w:r>
              <w:t>0–100; missing only with justification</w:t>
            </w:r>
          </w:p>
        </w:tc>
        <w:tc>
          <w:tcPr>
            <w:tcW w:type="dxa" w:w="2160"/>
          </w:tcPr>
          <w:p>
            <w:r>
              <w:t>≥99%</w:t>
            </w:r>
          </w:p>
        </w:tc>
        <w:tc>
          <w:tcPr>
            <w:tcW w:type="dxa" w:w="2160"/>
          </w:tcPr>
          <w:p>
            <w:r>
              <w:t>Do not assume zero without approval.</w:t>
            </w:r>
          </w:p>
        </w:tc>
      </w:tr>
      <w:tr>
        <w:tc>
          <w:tcPr>
            <w:tcW w:type="dxa" w:w="2160"/>
          </w:tcPr>
          <w:p>
            <w:r>
              <w:t>payment_status</w:t>
            </w:r>
          </w:p>
        </w:tc>
        <w:tc>
          <w:tcPr>
            <w:tcW w:type="dxa" w:w="2160"/>
          </w:tcPr>
          <w:p>
            <w:r>
              <w:t>Paid/Pending/Failed/Refunded after normalization</w:t>
            </w:r>
          </w:p>
        </w:tc>
        <w:tc>
          <w:tcPr>
            <w:tcW w:type="dxa" w:w="2160"/>
          </w:tcPr>
          <w:p>
            <w:r>
              <w:t>≥99%</w:t>
            </w:r>
          </w:p>
        </w:tc>
        <w:tc>
          <w:tcPr>
            <w:tcW w:type="dxa" w:w="2160"/>
          </w:tcPr>
          <w:p>
            <w:r>
              <w:t>Normalize; escalate invalid statuses.</w:t>
            </w:r>
          </w:p>
        </w:tc>
      </w:tr>
    </w:tbl>
    <w:p>
      <w:pPr>
        <w:pStyle w:val="Heading1"/>
      </w:pPr>
      <w:r>
        <w:t>Observed issues</w:t>
      </w:r>
    </w:p>
    <w:p>
      <w:pPr>
        <w:pStyle w:val="ListBullet"/>
      </w:pPr>
      <w:r>
        <w:t>RT-1004 is duplicated.</w:t>
      </w:r>
    </w:p>
    <w:p>
      <w:pPr>
        <w:pStyle w:val="ListBullet"/>
      </w:pPr>
      <w:r>
        <w:t>RT-1002 uses 03/01/2026 instead of ISO format.</w:t>
      </w:r>
    </w:p>
    <w:p>
      <w:pPr>
        <w:pStyle w:val="ListBullet"/>
      </w:pPr>
      <w:r>
        <w:t>RT-1006 has invalid date 2026-13-10 and quantity -1.</w:t>
      </w:r>
    </w:p>
    <w:p>
      <w:pPr>
        <w:pStyle w:val="ListBullet"/>
      </w:pPr>
      <w:r>
        <w:t>RT-1008 has quantity 'two'.</w:t>
      </w:r>
    </w:p>
    <w:p>
      <w:pPr>
        <w:pStyle w:val="ListBullet"/>
      </w:pPr>
      <w:r>
        <w:t>RT-1005 has missing city.</w:t>
      </w:r>
    </w:p>
    <w:p>
      <w:pPr>
        <w:pStyle w:val="ListBullet"/>
      </w:pPr>
      <w:r>
        <w:t>RT-1003 has missing discount_pct.</w:t>
      </w:r>
    </w:p>
    <w:p>
      <w:pPr>
        <w:pStyle w:val="ListBullet"/>
      </w:pPr>
      <w:r>
        <w:t>RT-1007 has discount_pct = 105.</w:t>
      </w:r>
    </w:p>
    <w:p>
      <w:pPr>
        <w:pStyle w:val="ListBullet"/>
      </w:pPr>
      <w:r>
        <w:t>Case variations exist in customer segment/payment status and can be normalized.</w:t>
      </w:r>
    </w:p>
    <w:p>
      <w:pPr>
        <w:pStyle w:val="Heading1"/>
      </w:pPr>
      <w:r>
        <w:t>Escalation</w:t>
      </w:r>
    </w:p>
    <w:p>
      <w:pPr>
        <w:pStyle w:val="ListBullet"/>
      </w:pPr>
      <w:r>
        <w:t>Critical: stop affected KPI publication and notify the data owner.</w:t>
      </w:r>
    </w:p>
    <w:p>
      <w:pPr>
        <w:pStyle w:val="ListBullet"/>
      </w:pPr>
      <w:r>
        <w:t>Major: notify owner and publish only unaffected KPIs with a quality warning.</w:t>
      </w:r>
    </w:p>
    <w:p>
      <w:pPr>
        <w:pStyle w:val="ListBullet"/>
      </w:pPr>
      <w:r>
        <w:t>Minor: normalize safe formatting/case differences and log the transformation.</w:t>
      </w:r>
    </w:p>
    <w:p>
      <w:pPr>
        <w:pStyle w:val="Heading1"/>
      </w:pPr>
      <w:r>
        <w:t>Provisional KPI note</w:t>
      </w:r>
    </w:p>
    <w:p>
      <w:r>
        <w:t>For the example calculation, RT-1002 is interpreted as 3 Jan 2026 and RT-1003 missing discount is treated as 0. Exact duplicates are removed and invalid quantity/date/discount rows are excluded. Confirm these assumptions before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