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Html-css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1.Saya mengerti fungsi dari box-sizing:border-box yg         digunakan untuk menyesuaikan ukuran bagian dalam dari padding sesuai dengan keinginan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2.saya mengerti berbagai macam fungsi flex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3.fungsi flex direction row(rata dari kiri ke kanan)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4.fungsi flex direction row reverse(rata dari kanan ke kiri)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5.fungsi flex direction column reverse(rata dari bawah ke atas)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6.saya mengerti berbagai macam fungsi flex wrap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7.saya mengerti fungsui dari flex flow column yaitu rata dari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Atas ke bawah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8.fungsi justify content center(rata tengah)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fungsi justify content flex start(rata dari kiri ke kanan)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fungsi justify content flex end(rata dari kiri ke kanan namun bagian dari kanan menyisahkan kolom)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fungsi justify content space around(rata dari kiri kekanan dan setiap kolom terdapat spasi)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12. fungsi justify content space between(hampir sama dengan fungsi justify content space around)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1.Saya belum mengerti box-sizing:content-box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F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20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