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80"/>
      </w:pPr>
      <w:r>
        <w:t xml:space="preserve"/>
      </w:r>
    </w:p>
    <w:p>
      <w:pPr>
        <w:spacing w:after="160" w:before="0"/>
        <w:jc w:val="center"/>
      </w:pPr>
      <w:r>
        <w:rPr>
          <w:rFonts w:ascii="Arial" w:cs="Arial" w:eastAsia="Arial" w:hAnsi="Arial"/>
          <w:b/>
          <w:bCs/>
          <w:color w:val="1A3A6B"/>
          <w:sz w:val="52"/>
          <w:szCs w:val="52"/>
        </w:rPr>
        <w:t xml:space="preserve">DOKUMENTASI GENERAL BANKING BRI</w:t>
      </w:r>
    </w:p>
    <w:p>
      <w:pPr>
        <w:spacing w:after="100" w:before="0"/>
        <w:jc w:val="center"/>
      </w:pPr>
      <w:r>
        <w:rPr>
          <w:rFonts w:ascii="Arial" w:cs="Arial" w:eastAsia="Arial" w:hAnsi="Arial"/>
          <w:color w:val="1565C0"/>
          <w:sz w:val="30"/>
          <w:szCs w:val="30"/>
        </w:rPr>
        <w:t xml:space="preserve">Panduan Lengkap Perbankan untuk BFLP IT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3F0FC" w:val="clear"/>
            <w:tcMar>
              <w:top w:type="dxa" w:w="280"/>
              <w:left w:type="dxa" w:w="400"/>
              <w:bottom w:type="dxa" w:w="280"/>
              <w:right w:type="dxa" w:w="400"/>
            </w:tcMar>
          </w:tcPr>
          <w:p>
            <w:pPr>
              <w:spacing w:after="80" w:before="0"/>
              <w:jc w:val="center"/>
            </w:pPr>
            <w:r>
              <w:rPr>
                <w:rFonts w:ascii="Arial" w:cs="Arial" w:eastAsia="Arial" w:hAnsi="Arial"/>
                <w:color w:val="1A3A6B"/>
                <w:sz w:val="23"/>
                <w:szCs w:val="23"/>
              </w:rPr>
              <w:t xml:space="preserve">Sejarah &amp; Profil BRI │ Regulasi &amp; OJK │ Produk Simpanan &amp; Kredit</w:t>
            </w:r>
          </w:p>
          <w:p>
            <w:pPr>
              <w:spacing w:after="80" w:before="0"/>
              <w:jc w:val="center"/>
            </w:pPr>
            <w:r>
              <w:rPr>
                <w:rFonts w:ascii="Arial" w:cs="Arial" w:eastAsia="Arial" w:hAnsi="Arial"/>
                <w:color w:val="1A3A6B"/>
                <w:sz w:val="23"/>
                <w:szCs w:val="23"/>
              </w:rPr>
              <w:t xml:space="preserve">Rasio Keuangan │ Manajemen Risiko │ Digital Banking</w:t>
            </w:r>
          </w:p>
          <w:p>
            <w:pPr>
              <w:spacing w:after="0" w:before="0"/>
              <w:jc w:val="center"/>
            </w:pPr>
            <w:r>
              <w:rPr>
                <w:rFonts w:ascii="Arial" w:cs="Arial" w:eastAsia="Arial" w:hAnsi="Arial"/>
                <w:color w:val="1A3A6B"/>
                <w:sz w:val="23"/>
                <w:szCs w:val="23"/>
              </w:rPr>
              <w:t xml:space="preserve">Glosarium Lengkap │ Istilah Perbankan A–Z</w:t>
            </w:r>
          </w:p>
        </w:tc>
      </w:tr>
    </w:tbl>
    <w:p>
      <w:pPr>
        <w:spacing w:after="60" w:before="60"/>
      </w:pPr>
      <w:r>
        <w:t xml:space="preserve"/>
      </w:r>
    </w:p>
    <w:p>
      <w:pPr>
        <w:spacing w:after="80" w:before="0"/>
        <w:jc w:val="center"/>
      </w:pPr>
      <w:r>
        <w:rPr>
          <w:rFonts w:ascii="Arial" w:cs="Arial" w:eastAsia="Arial" w:hAnsi="Arial"/>
          <w:i/>
          <w:iCs/>
          <w:color w:val="555555"/>
          <w:sz w:val="22"/>
          <w:szCs w:val="22"/>
        </w:rPr>
        <w:t xml:space="preserve">Dipersiapkan untuk Onboarding BFLP IT Bank BRI – 29 April 2026</w:t>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1 – Sejarah dan Profil Bank BRI</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1.1 Sejarah Singkat BRI</w:t>
      </w:r>
    </w:p>
    <w:p>
      <w:pPr>
        <w:spacing w:after="80" w:before="80"/>
        <w:jc w:val="both"/>
      </w:pPr>
      <w:r>
        <w:rPr>
          <w:rFonts w:ascii="Arial" w:cs="Arial" w:eastAsia="Arial" w:hAnsi="Arial"/>
          <w:color w:val="2C2C2C"/>
          <w:sz w:val="22"/>
          <w:szCs w:val="22"/>
        </w:rPr>
        <w:t xml:space="preserve">Bank Rakyat Indonesia (BRI) adalah bank tertua di Indonesia yang berdiri sejak 16 Desember 1895 di Purwokerto, Jawa Tengah. Bank ini didirikan oleh Raden Bei Aria Wirjaatmadja dengan nama awal De Poerwokertosche Hulp en Spaarbank der Inlandsche Hoofden (Bank Bantuan dan Simpanan Milik Kaum Priyayi Purwokerto). Tujuan awalnya adalah membebaskan masyarakat pribumi dari jeratan rentenir.</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Era</w:t>
            </w:r>
          </w:p>
        </w:tc>
        <w:tc>
          <w:tcPr>
            <w:tcW w:type="dxa" w:w="3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Nama / Status</w:t>
            </w:r>
          </w:p>
        </w:tc>
        <w:tc>
          <w:tcPr>
            <w:tcW w:type="dxa" w:w="4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Peristiwa Penting</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1895</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De Poerwokertosche Hulp en Spaarbank</w:t>
            </w:r>
          </w:p>
        </w:tc>
        <w:tc>
          <w:tcPr>
            <w:tcW w:type="dxa" w:w="4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Berdiri di Purwokerto, fokus simpanan dan pinjaman priyayi</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1934</w:t>
            </w:r>
          </w:p>
        </w:tc>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Algemene Volkscredietbank (AVB)</w:t>
            </w:r>
          </w:p>
        </w:tc>
        <w:tc>
          <w:tcPr>
            <w:tcW w:type="dxa" w:w="4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Berkembang menjadi bank rakyat umum masa kolonial Belanda</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1945</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Rakyat Indonesia Serikat</w:t>
            </w:r>
          </w:p>
        </w:tc>
        <w:tc>
          <w:tcPr>
            <w:tcW w:type="dxa" w:w="4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Dinasionalisasi setelah proklamasi kemerdekaan RI</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1946</w:t>
            </w:r>
          </w:p>
        </w:tc>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Rakyat Indonesia</w:t>
            </w:r>
          </w:p>
        </w:tc>
        <w:tc>
          <w:tcPr>
            <w:tcW w:type="dxa" w:w="4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Ditetapkan sebagai bank pemerintah pertama RI (PP No.1/1946)</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1965</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BKTN (Bank Koperasi, Tani, Nelayan)</w:t>
            </w:r>
          </w:p>
        </w:tc>
        <w:tc>
          <w:tcPr>
            <w:tcW w:type="dxa" w:w="4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Sempat bergabung ke Bank Negara Indonesia</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1968</w:t>
            </w:r>
          </w:p>
        </w:tc>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Rakyat Indonesia</w:t>
            </w:r>
          </w:p>
        </w:tc>
        <w:tc>
          <w:tcPr>
            <w:tcW w:type="dxa" w:w="4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Kembali berdiri sendiri berdasarkan UU No.21 Tahun 1968</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1992</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PT Bank Rakyat Indonesia (Persero)</w:t>
            </w:r>
          </w:p>
        </w:tc>
        <w:tc>
          <w:tcPr>
            <w:tcW w:type="dxa" w:w="4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Menjadi perseroan terbatas, status BUMN</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2003</w:t>
            </w:r>
          </w:p>
        </w:tc>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 Tbk (IPO)</w:t>
            </w:r>
          </w:p>
        </w:tc>
        <w:tc>
          <w:tcPr>
            <w:tcW w:type="dxa" w:w="4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Melantai di Bursa Efek Indonesia, kode BBRI</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2021</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 Group – Holding Ultra Mikro</w:t>
            </w:r>
          </w:p>
        </w:tc>
        <w:tc>
          <w:tcPr>
            <w:tcW w:type="dxa" w:w="4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Holding bersama Pegadaian dan PNM untuk layanan ultra mikro</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2025</w:t>
            </w:r>
          </w:p>
        </w:tc>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Rebrand – Satu Bank Untuk Semua</w:t>
            </w:r>
          </w:p>
        </w:tc>
        <w:tc>
          <w:tcPr>
            <w:tcW w:type="dxa" w:w="4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Logo baru, tagline baru, memperluas segmen layanan</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1.2 Profil Umum BRI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Atribut</w:t>
            </w:r>
          </w:p>
        </w:tc>
        <w:tc>
          <w:tcPr>
            <w:tcW w:type="dxa" w:w="6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Detail</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Nama Resmi</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PT Bank Rakyat Indonesia (Persero) Tbk</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Kode Saham</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BBRI (Bursa Efek Indonesia)</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Tanggal Berdiri</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16 Desember 1895</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Kantor Pusat</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Gedung BRI I, Jl. Jend. Sudirman Kav. 44–46, Jakarta 10210</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Kepemilikan</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BUMN – Pemerintah RI memegang saham mayoritas</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Tagline Baru</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Satu Bank Untuk Semua (sejak Desember 2025)</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Fokus Utama</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Usaha Mikro, Kecil, dan Menengah (UMKM)</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Jaringan</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Ribuan kantor cabang hingga pelosok desa (BRI Unit)</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Call Center</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14017 / 1500017</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Mobile Banking</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BRImo (38,61 juta pengguna per akhir 2024)</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1.3 Struktur Organisasi BRI</w:t>
      </w:r>
    </w:p>
    <w:p>
      <w:pPr>
        <w:spacing w:after="80" w:before="80"/>
        <w:jc w:val="both"/>
      </w:pPr>
      <w:r>
        <w:rPr>
          <w:rFonts w:ascii="Arial" w:cs="Arial" w:eastAsia="Arial" w:hAnsi="Arial"/>
          <w:color w:val="2C2C2C"/>
          <w:sz w:val="22"/>
          <w:szCs w:val="22"/>
        </w:rPr>
        <w:t xml:space="preserve">BRI dipimpin oleh Dewan Komisaris dan Direksi. Secara operasional, BRI memiliki hierarki kantor yang jelas dari pusat hingga unit terkecil:</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Level Kantor</w:t>
            </w:r>
          </w:p>
        </w:tc>
        <w:tc>
          <w:tcPr>
            <w:tcW w:type="dxa" w:w="6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Kantor Pusat (KP)</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Pusat kebijakan, strategi, dan koordinasi seluruh operasional BRI</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Kantor Wilayah (Kanwil)</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Mengkoordinasikan beberapa kantor cabang di suatu wilayah geografis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Kantor Cabang (KC)</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Unit operasional utama di tingkat kota/kabupaten</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Kantor Cabang Pembantu (KCP)</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Kantor di bawah KC, melayani area yang lebih kecil</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Kantor Kas (KK)</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Kantor terbatas, hanya melayani transaksi kas tertentu</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 Unit</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Kantor layanan mikro di tingkat kecamatan, tulang punggung BRI</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Teras BRI</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Layanan di pasar tradisional dan area yang belum terjangkau kantor</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BRILink Agent</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Agen perbankan masyarakat (warung, toko) untuk transaksi dasar</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3F0FC" w:val="clear"/>
            <w:tcMar>
              <w:top w:type="dxa" w:w="160"/>
              <w:left w:type="dxa" w:w="220"/>
              <w:bottom w:type="dxa" w:w="160"/>
              <w:right w:type="dxa" w:w="220"/>
            </w:tcMar>
          </w:tcPr>
          <w:p>
            <w:pPr>
              <w:spacing w:after="60" w:before="0"/>
            </w:pPr>
            <w:r>
              <w:rPr>
                <w:rFonts w:ascii="Arial" w:cs="Arial" w:eastAsia="Arial" w:hAnsi="Arial"/>
                <w:b/>
                <w:bCs/>
                <w:color w:val="1A3A6B"/>
                <w:sz w:val="22"/>
                <w:szCs w:val="22"/>
              </w:rPr>
              <w:t xml:space="preserve">Fakta Menarik BRI:</w:t>
            </w:r>
          </w:p>
          <w:p>
            <w:pPr>
              <w:spacing w:after="0" w:before="0"/>
              <w:jc w:val="both"/>
            </w:pPr>
            <w:r>
              <w:rPr>
                <w:rFonts w:ascii="Arial" w:cs="Arial" w:eastAsia="Arial" w:hAnsi="Arial"/>
                <w:color w:val="1A3060"/>
                <w:sz w:val="21"/>
                <w:szCs w:val="21"/>
              </w:rPr>
              <w:t xml:space="preserve">BRI adalah satu-satunya bank di dunia yang memiliki satelit sendiri. BRIsat diluncurkan pada 18 Juni 2016 menggunakan roket Ariane 5, menghubungkan cabang-cabang BRI yang tersebar di seluruh kepulauan Indonesia termasuk daerah terpencil 3T (Terdepan, Terluar, Tertinggal).</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2 – Regulasi dan Pengawasan Perbankan Indonesia</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2.1 Otoritas Jasa Keuangan (OJK)</w:t>
      </w:r>
    </w:p>
    <w:p>
      <w:pPr>
        <w:spacing w:after="80" w:before="80"/>
        <w:jc w:val="both"/>
      </w:pPr>
      <w:r>
        <w:rPr>
          <w:rFonts w:ascii="Arial" w:cs="Arial" w:eastAsia="Arial" w:hAnsi="Arial"/>
          <w:color w:val="2C2C2C"/>
          <w:sz w:val="22"/>
          <w:szCs w:val="22"/>
        </w:rPr>
        <w:t xml:space="preserve">Otoritas Jasa Keuangan (OJK) adalah lembaga independen yang bertugas mengatur dan mengawasi seluruh kegiatan di sektor jasa keuangan Indonesia, termasuk perbankan, pasar modal, dan IKNB (Industri Keuangan Non-Bank). OJK dibentuk berdasarkan UU No. 21 Tahun 2011 dan mulai beroperasi penuh pada 31 Desember 2013.</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Fungsi OJK</w:t>
            </w:r>
          </w:p>
        </w:tc>
        <w:tc>
          <w:tcPr>
            <w:tcW w:type="dxa" w:w="6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Pengaturan</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Membuat peraturan (POJK) yang wajib dipatuhi seluruh lembaga keuangan</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Pengawasan</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Memantau kepatuhan lembaga keuangan terhadap peraturan yang berlaku</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Perlindungan Konsumen</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Menangani pengaduan dan melindungi nasabah dari praktik tidak wajar</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Edukasi Keuangan</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Meningkatkan literasi dan inklusi keuangan masyarakat Indonesia</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2.2 Bank Indonesia (BI)</w:t>
      </w:r>
    </w:p>
    <w:p>
      <w:pPr>
        <w:spacing w:after="80" w:before="80"/>
        <w:jc w:val="both"/>
      </w:pPr>
      <w:r>
        <w:rPr>
          <w:rFonts w:ascii="Arial" w:cs="Arial" w:eastAsia="Arial" w:hAnsi="Arial"/>
          <w:color w:val="2C2C2C"/>
          <w:sz w:val="22"/>
          <w:szCs w:val="22"/>
        </w:rPr>
        <w:t xml:space="preserve">Bank Indonesia adalah bank sentral Republik Indonesia yang independen. Tugas utama BI adalah menjaga stabilitas nilai Rupiah, baik terhadap barang/jasa (inflasi) maupun terhadap mata uang negara lain (nilai tukar). BI juga menjaga stabilitas sistem keuangan dan kelancaran sistem pembayaran.</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Instrumen BI</w:t>
            </w:r>
          </w:p>
        </w:tc>
        <w:tc>
          <w:tcPr>
            <w:tcW w:type="dxa" w:w="6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BI Rate / BI 7-Day RRR</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Suku bunga acuan yang mempengaruhi suku bunga di seluruh perbankan</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Giro Wajib Minimum (GWM)</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Cadangan minimum likuiditas yang harus dipelihara bank di BI</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Operasi Pasar Terbuka</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Pembelian/penjualan SBI untuk mengatur jumlah uang beredar</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Kebijakan Makroprudensial</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Aturan LTV, DSCR, dsb untuk menjaga stabilitas sistem keuangan</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2.3 Lembaga Penjamin Simpanan (LPS)</w:t>
      </w:r>
    </w:p>
    <w:p>
      <w:pPr>
        <w:spacing w:after="80" w:before="80"/>
        <w:jc w:val="both"/>
      </w:pPr>
      <w:r>
        <w:rPr>
          <w:rFonts w:ascii="Arial" w:cs="Arial" w:eastAsia="Arial" w:hAnsi="Arial"/>
          <w:color w:val="2C2C2C"/>
          <w:sz w:val="22"/>
          <w:szCs w:val="22"/>
        </w:rPr>
        <w:t xml:space="preserve">LPS adalah lembaga yang menjamin simpanan nasabah di bank. Jika sebuah bank dilikuidasi (ditutup), LPS akan membayar klaim simpanan nasabah hingga batas tertentu. Tujuannya adalah menjaga kepercayaan masyarakat terhadap sistem perbankan.</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Aspek LPS</w:t>
            </w:r>
          </w:p>
        </w:tc>
        <w:tc>
          <w:tcPr>
            <w:tcW w:type="dxa" w:w="6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Detail</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Dasar Hukum</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UU No. 24 Tahun 2004 tentang LPS</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Nilai Dijamin</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Maksimal Rp 2 miliar per nasabah per bank</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Syarat Dijamin</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Suku bunga simpanan tidak melebihi tingkat bunga penjaminan LPS</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Premi</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membayar premi ke LPS setiap semester</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2.4 Prinsip Kehati-hatian (Prudential Principles)</w:t>
      </w:r>
    </w:p>
    <w:p>
      <w:pPr>
        <w:spacing w:after="80" w:before="80"/>
        <w:jc w:val="both"/>
      </w:pPr>
      <w:r>
        <w:rPr>
          <w:rFonts w:ascii="Arial" w:cs="Arial" w:eastAsia="Arial" w:hAnsi="Arial"/>
          <w:color w:val="2C2C2C"/>
          <w:sz w:val="22"/>
          <w:szCs w:val="22"/>
        </w:rPr>
        <w:t xml:space="preserve">Setiap bank di Indonesia wajib menerapkan prinsip kehati-hatian dalam seluruh kegiatan usahanya. Berikut prinsip-prinsip utama yang wajib dipahami oleh setiap bankir:</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Prinsip</w:t>
            </w:r>
          </w:p>
        </w:tc>
        <w:tc>
          <w:tcPr>
            <w:tcW w:type="dxa" w:w="1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Singkatan</w:t>
            </w:r>
          </w:p>
        </w:tc>
        <w:tc>
          <w:tcPr>
            <w:tcW w:type="dxa" w:w="56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Know Your Customer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KYC</w:t>
            </w:r>
          </w:p>
        </w:tc>
        <w:tc>
          <w:tcPr>
            <w:tcW w:type="dxa" w:w="5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Mengenal nasabah secara mendalam sebelum memberikan layanan</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Anti Money Laundering</w:t>
            </w:r>
          </w:p>
        </w:tc>
        <w:tc>
          <w:tcPr>
            <w:tcW w:type="dxa" w:w="1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AML</w:t>
            </w:r>
          </w:p>
        </w:tc>
        <w:tc>
          <w:tcPr>
            <w:tcW w:type="dxa" w:w="5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Mencegah dan mendeteksi praktik pencucian uang</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Customer Due Diligence</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CDD</w:t>
            </w:r>
          </w:p>
        </w:tc>
        <w:tc>
          <w:tcPr>
            <w:tcW w:type="dxa" w:w="5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Verifikasi identitas dan tujuan transaksi nasabah</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Enhanced Due Diligence</w:t>
            </w:r>
          </w:p>
        </w:tc>
        <w:tc>
          <w:tcPr>
            <w:tcW w:type="dxa" w:w="1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EDD</w:t>
            </w:r>
          </w:p>
        </w:tc>
        <w:tc>
          <w:tcPr>
            <w:tcW w:type="dxa" w:w="5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Prosedur lebih ketat untuk nasabah berisiko tinggi (PEP, dll)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Suspicious Transaction Report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STR</w:t>
            </w:r>
          </w:p>
        </w:tc>
        <w:tc>
          <w:tcPr>
            <w:tcW w:type="dxa" w:w="5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Laporan Transaksi Keuangan Mencurigakan ke PPATK</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FF8E1" w:val="clear"/>
            <w:tcMar>
              <w:top w:type="dxa" w:w="160"/>
              <w:left w:type="dxa" w:w="220"/>
              <w:bottom w:type="dxa" w:w="160"/>
              <w:right w:type="dxa" w:w="220"/>
            </w:tcMar>
          </w:tcPr>
          <w:p>
            <w:pPr>
              <w:spacing w:after="60" w:before="0"/>
            </w:pPr>
            <w:r>
              <w:rPr>
                <w:rFonts w:ascii="Arial" w:cs="Arial" w:eastAsia="Arial" w:hAnsi="Arial"/>
                <w:b/>
                <w:bCs/>
                <w:color w:val="7B4F00"/>
                <w:sz w:val="22"/>
                <w:szCs w:val="22"/>
              </w:rPr>
              <w:t xml:space="preserve">Penting untuk BFLP IT:</w:t>
            </w:r>
          </w:p>
          <w:p>
            <w:pPr>
              <w:spacing w:after="0" w:before="0"/>
              <w:jc w:val="both"/>
            </w:pPr>
            <w:r>
              <w:rPr>
                <w:rFonts w:ascii="Arial" w:cs="Arial" w:eastAsia="Arial" w:hAnsi="Arial"/>
                <w:color w:val="4A3000"/>
                <w:sz w:val="21"/>
                <w:szCs w:val="21"/>
              </w:rPr>
              <w:t xml:space="preserve">Sebagai IT developer di bank, kamu akan sering membangun sistem yang berkaitan dengan KYC, AML, dan keamanan data nasabah. Pemahaman regulasi ini sangat penting karena sistem yang kamu buat harus comply dengan POJK dan regulasi BI.</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3 – Produk Simpanan BRI</w:t>
      </w:r>
    </w:p>
    <w:p>
      <w:pPr>
        <w:spacing w:after="60" w:before="60"/>
      </w:pPr>
      <w:r>
        <w:t xml:space="preserve"/>
      </w:r>
    </w:p>
    <w:p>
      <w:pPr>
        <w:spacing w:after="80" w:before="80"/>
        <w:jc w:val="both"/>
      </w:pPr>
      <w:r>
        <w:rPr>
          <w:rFonts w:ascii="Arial" w:cs="Arial" w:eastAsia="Arial" w:hAnsi="Arial"/>
          <w:color w:val="2C2C2C"/>
          <w:sz w:val="22"/>
          <w:szCs w:val="22"/>
        </w:rPr>
        <w:t xml:space="preserve">Produk simpanan (funding) adalah produk bank untuk menghimpun dana dari masyarakat. Dana yang terkumpul inilah yang kemudian disalurkan kembali dalam bentuk kredit dan investasi. BRI memiliki berbagai produk simpanan untuk memenuhi kebutuhan berbagai segmen nasabah.</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3.1 Tabungan</w:t>
      </w:r>
    </w:p>
    <w:p>
      <w:pPr>
        <w:spacing w:after="80" w:before="80"/>
        <w:jc w:val="both"/>
      </w:pPr>
      <w:r>
        <w:rPr>
          <w:rFonts w:ascii="Arial" w:cs="Arial" w:eastAsia="Arial" w:hAnsi="Arial"/>
          <w:color w:val="2C2C2C"/>
          <w:sz w:val="22"/>
          <w:szCs w:val="22"/>
        </w:rPr>
        <w:t xml:space="preserve">Tabungan adalah simpanan yang penarikannya dapat dilakukan sewaktu-waktu dengan syarat tertentu. Berikut produk tabungan utama BRI:</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3426"/>
        <w:gridCol w:w="1400"/>
      </w:tblGrid>
      <w:tr>
        <w:trPr>
          <w:tblHeader/>
        </w:trPr>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Produk Tabungan</w:t>
            </w:r>
          </w:p>
        </w:tc>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Target Segmen</w:t>
            </w:r>
          </w:p>
        </w:tc>
        <w:tc>
          <w:tcPr>
            <w:tcW w:type="dxa" w:w="34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Fitur Utama</w:t>
            </w:r>
          </w:p>
        </w:tc>
        <w:tc>
          <w:tcPr>
            <w:tcW w:type="dxa" w:w="1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Setoran Awal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BritAma</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Nasabah umum, aktif</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Bebas biaya admin, bonus BritAma Points</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Rp 50.000</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BritAma Bisnis</w:t>
            </w:r>
          </w:p>
        </w:tc>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Pelaku usaha</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Limit transaksi besar, fitur bisnis</w:t>
            </w:r>
          </w:p>
        </w:tc>
        <w:tc>
          <w:tcPr>
            <w:tcW w:type="dxa" w:w="1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Rp 500.000</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Simpedes</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Masyarakat pedesaan</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Biaya rendah, bunga progresif, program undian</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Rp 10.000</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Simpedes BRI</w:t>
            </w:r>
          </w:p>
        </w:tc>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UMKM desa</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Kemudahan akses di BRI Unit dan Teras BRI</w:t>
            </w:r>
          </w:p>
        </w:tc>
        <w:tc>
          <w:tcPr>
            <w:tcW w:type="dxa" w:w="1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Rp 10.000</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Tabungan Haji BRI</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Calon jamaah haji</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Setoran fleksibel, terkoneksi SISKOHAT Kemenag</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Rp 50.000</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Tabunganku</w:t>
            </w:r>
          </w:p>
        </w:tc>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Pelajar, masyarakat umum</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Tanpa biaya admin, edukasi menabung</w:t>
            </w:r>
          </w:p>
        </w:tc>
        <w:tc>
          <w:tcPr>
            <w:tcW w:type="dxa" w:w="1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Rp 20.000</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Tabungan BRI Junior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Anak dan remaja</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Kartu ATM desain menarik, edukasi finansial</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Rp 50.000</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3.2 Deposito</w:t>
      </w:r>
    </w:p>
    <w:p>
      <w:pPr>
        <w:spacing w:after="80" w:before="80"/>
        <w:jc w:val="both"/>
      </w:pPr>
      <w:r>
        <w:rPr>
          <w:rFonts w:ascii="Arial" w:cs="Arial" w:eastAsia="Arial" w:hAnsi="Arial"/>
          <w:color w:val="2C2C2C"/>
          <w:sz w:val="22"/>
          <w:szCs w:val="22"/>
        </w:rPr>
        <w:t xml:space="preserve">Deposito adalah simpanan berjangka yang penarikannya hanya dapat dilakukan pada saat jatuh tempo. Karena tidak bisa ditarik sewaktu-waktu, bank memberikan bunga yang lebih tinggi dibandingkan tabungan biasa.</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Jenis Deposito</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Tenor Tersedia</w:t>
            </w:r>
          </w:p>
        </w:tc>
        <w:tc>
          <w:tcPr>
            <w:tcW w:type="dxa" w:w="4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Deposito BRI Rupiah</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1, 3, 6, 12, 24 bulan</w:t>
            </w:r>
          </w:p>
        </w:tc>
        <w:tc>
          <w:tcPr>
            <w:tcW w:type="dxa" w:w="4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Simpanan dalam Rupiah, bunga lebih tinggi dari tabungan</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Deposito BRI Valas</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1, 3, 6, 12 bulan</w:t>
            </w:r>
          </w:p>
        </w:tc>
        <w:tc>
          <w:tcPr>
            <w:tcW w:type="dxa" w:w="4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Simpanan dalam mata uang asing (USD, SGD, EUR, dll)</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Deposit On Call (DOC)</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Minimal 7 hari</w:t>
            </w:r>
          </w:p>
        </w:tc>
        <w:tc>
          <w:tcPr>
            <w:tcW w:type="dxa" w:w="4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Untuk nasabah korporat dengan dana besar, jangka sangat pendek</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Istilah Deposito</w:t>
            </w:r>
          </w:p>
        </w:tc>
        <w:tc>
          <w:tcPr>
            <w:tcW w:type="dxa" w:w="64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ARO (Automatic Roll Over)</w:t>
            </w:r>
          </w:p>
        </w:tc>
        <w:tc>
          <w:tcPr>
            <w:tcW w:type="dxa" w:w="6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Deposito yang otomatis diperpanjang saat jatuh tempo</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Non-ARO</w:t>
            </w:r>
          </w:p>
        </w:tc>
        <w:tc>
          <w:tcPr>
            <w:tcW w:type="dxa" w:w="6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Deposito yang tidak diperpanjang otomatis, dicairkan saat jatuh tempo</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Bilyet Deposito</w:t>
            </w:r>
          </w:p>
        </w:tc>
        <w:tc>
          <w:tcPr>
            <w:tcW w:type="dxa" w:w="6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Bukti kepemilikan deposito, bisa dijadikan agunan kredit</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Penalti</w:t>
            </w:r>
          </w:p>
        </w:tc>
        <w:tc>
          <w:tcPr>
            <w:tcW w:type="dxa" w:w="6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Denda yang dikenakan jika deposito dicairkan sebelum jatuh tempo</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3.3 Giro</w:t>
      </w:r>
    </w:p>
    <w:p>
      <w:pPr>
        <w:spacing w:after="80" w:before="80"/>
        <w:jc w:val="both"/>
      </w:pPr>
      <w:r>
        <w:rPr>
          <w:rFonts w:ascii="Arial" w:cs="Arial" w:eastAsia="Arial" w:hAnsi="Arial"/>
          <w:color w:val="2C2C2C"/>
          <w:sz w:val="22"/>
          <w:szCs w:val="22"/>
        </w:rPr>
        <w:t xml:space="preserve">Giro adalah simpanan yang penarikannya dapat dilakukan kapan saja menggunakan cek atau bilyet giro. Giro umumnya digunakan oleh perusahaan dan pelaku bisnis untuk keperluan transaksi bisnis sehari-hari.</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Fitur Giro</w:t>
            </w:r>
          </w:p>
        </w:tc>
        <w:tc>
          <w:tcPr>
            <w:tcW w:type="dxa" w:w="64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Cek (Cheque)</w:t>
            </w:r>
          </w:p>
        </w:tc>
        <w:tc>
          <w:tcPr>
            <w:tcW w:type="dxa" w:w="6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Surat perintah tertulis dari nasabah kepada bank untuk membayar sejumlah uang kepada pihak tertentu</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Bilyet Giro (BG)</w:t>
            </w:r>
          </w:p>
        </w:tc>
        <w:tc>
          <w:tcPr>
            <w:tcW w:type="dxa" w:w="6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Surat perintah pemindahbukuan, tidak dapat ditarik tunai</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Jasa Giro</w:t>
            </w:r>
          </w:p>
        </w:tc>
        <w:tc>
          <w:tcPr>
            <w:tcW w:type="dxa" w:w="6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Bunga yang diberikan bank atas saldo giro nasabah (umumnya kecil)</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Rekening Koran</w:t>
            </w:r>
          </w:p>
        </w:tc>
        <w:tc>
          <w:tcPr>
            <w:tcW w:type="dxa" w:w="6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Laporan mutasi rekening giro yang dikirim bank ke nasabah secara periodik</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3.4 Dana Pihak Ketiga (DPK) dan CASA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3F0FC" w:val="clear"/>
            <w:tcMar>
              <w:top w:type="dxa" w:w="160"/>
              <w:left w:type="dxa" w:w="220"/>
              <w:bottom w:type="dxa" w:w="160"/>
              <w:right w:type="dxa" w:w="220"/>
            </w:tcMar>
          </w:tcPr>
          <w:p>
            <w:pPr>
              <w:spacing w:after="60" w:before="0"/>
            </w:pPr>
            <w:r>
              <w:rPr>
                <w:rFonts w:ascii="Arial" w:cs="Arial" w:eastAsia="Arial" w:hAnsi="Arial"/>
                <w:b/>
                <w:bCs/>
                <w:color w:val="1A3A6B"/>
                <w:sz w:val="22"/>
                <w:szCs w:val="22"/>
              </w:rPr>
              <w:t xml:space="preserve">Konsep Penting – DPK dan CASA:</w:t>
            </w:r>
          </w:p>
          <w:p>
            <w:pPr>
              <w:spacing w:after="0" w:before="0"/>
              <w:jc w:val="both"/>
            </w:pPr>
            <w:r>
              <w:rPr>
                <w:rFonts w:ascii="Arial" w:cs="Arial" w:eastAsia="Arial" w:hAnsi="Arial"/>
                <w:color w:val="1A3060"/>
                <w:sz w:val="21"/>
                <w:szCs w:val="21"/>
              </w:rPr>
              <w:t xml:space="preserve">Dana Pihak Ketiga (DPK) adalah total dana yang dihimpun bank dari masyarakat, terdiri dari tabungan + deposito + giro. CASA (Current Account Saving Account) adalah rasio dana murah (giro + tabungan) terhadap total DPK. CASA tinggi = biaya dana (cost of fund) rendah = profitabilitas bank lebih baik.</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Komponen DPK</w:t>
            </w:r>
          </w:p>
        </w:tc>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Biaya Dana</w:t>
            </w:r>
          </w:p>
        </w:tc>
        <w:tc>
          <w:tcPr>
            <w:tcW w:type="dxa" w:w="44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Karakteristik</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Tabungan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Rendah</w:t>
            </w:r>
          </w:p>
        </w:tc>
        <w:tc>
          <w:tcPr>
            <w:tcW w:type="dxa" w:w="4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Bisa ditarik sewaktu-waktu, bunga kecil, volume besar</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Giro</w:t>
            </w:r>
          </w:p>
        </w:tc>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Sangat Rendah</w:t>
            </w:r>
          </w:p>
        </w:tc>
        <w:tc>
          <w:tcPr>
            <w:tcW w:type="dxa" w:w="4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Penarikan via cek/BG, jasa giro kecil, nasabah korporat</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Deposito</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Tinggi</w:t>
            </w:r>
          </w:p>
        </w:tc>
        <w:tc>
          <w:tcPr>
            <w:tcW w:type="dxa" w:w="4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Berjangka, bunga kompetitif, tidak bisa ditarik sebelum jatuh tempo</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4 – Produk Kredit dan Pembiayaan BRI</w:t>
      </w:r>
    </w:p>
    <w:p>
      <w:pPr>
        <w:spacing w:after="60" w:before="60"/>
      </w:pPr>
      <w:r>
        <w:t xml:space="preserve"/>
      </w:r>
    </w:p>
    <w:p>
      <w:pPr>
        <w:spacing w:after="80" w:before="80"/>
        <w:jc w:val="both"/>
      </w:pPr>
      <w:r>
        <w:rPr>
          <w:rFonts w:ascii="Arial" w:cs="Arial" w:eastAsia="Arial" w:hAnsi="Arial"/>
          <w:color w:val="2C2C2C"/>
          <w:sz w:val="22"/>
          <w:szCs w:val="22"/>
        </w:rPr>
        <w:t xml:space="preserve">Kredit adalah penyediaan uang atau tagihan berdasarkan persetujuan antara bank dengan debitur, di mana debitur wajib mengembalikan pokok beserta bunganya sesuai perjanjian. Kredit adalah sumber pendapatan utama bank melalui pendapatan bunga (interest income).</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4.1 Kredit Mikro dan UMKM</w:t>
      </w:r>
    </w:p>
    <w:p>
      <w:pPr>
        <w:spacing w:after="80" w:before="80"/>
        <w:jc w:val="both"/>
      </w:pPr>
      <w:r>
        <w:rPr>
          <w:rFonts w:ascii="Arial" w:cs="Arial" w:eastAsia="Arial" w:hAnsi="Arial"/>
          <w:color w:val="2C2C2C"/>
          <w:sz w:val="22"/>
          <w:szCs w:val="22"/>
        </w:rPr>
        <w:t xml:space="preserve">BRI dikenal sebagai raja UMKM di Indonesia. Lebih dari 80% portofolio kredit BRI disalurkan ke segmen mikro, kecil, dan menengah.</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426"/>
        <w:gridCol w:w="1800"/>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Produk Kredit UMKM</w:t>
            </w:r>
          </w:p>
        </w:tc>
        <w:tc>
          <w:tcPr>
            <w:tcW w:type="dxa" w:w="44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 / Keterangan</w:t>
            </w:r>
          </w:p>
        </w:tc>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Plafon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KUR Mikro</w:t>
            </w:r>
          </w:p>
        </w:tc>
        <w:tc>
          <w:tcPr>
            <w:tcW w:type="dxa" w:w="4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Usaha Rakyat Mikro – program pemerintah, bunga subsidi 6%/tahun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Maks Rp 100 juta</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KUR Kecil</w:t>
            </w:r>
          </w:p>
        </w:tc>
        <w:tc>
          <w:tcPr>
            <w:tcW w:type="dxa" w:w="4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Usaha Rakyat Kecil – untuk usaha yang lebih besar</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Rp 100 juta – Rp 500 juta</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KUR TKI</w:t>
            </w:r>
          </w:p>
        </w:tc>
        <w:tc>
          <w:tcPr>
            <w:tcW w:type="dxa" w:w="4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Usaha Rakyat khusus Tenaga Kerja Indonesia di luar negeri</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Maks Rp 25 juta</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Kupedes</w:t>
            </w:r>
          </w:p>
        </w:tc>
        <w:tc>
          <w:tcPr>
            <w:tcW w:type="dxa" w:w="4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Umum Pedesaan – kredit serba guna di BRI Unit</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Sesuai kemampuan bayar</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KPUM</w:t>
            </w:r>
          </w:p>
        </w:tc>
        <w:tc>
          <w:tcPr>
            <w:tcW w:type="dxa" w:w="4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Pundi Umum Mikro – modal kerja dan investasi UMKM</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Sesuai analisis kredit</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Ritel</w:t>
            </w:r>
          </w:p>
        </w:tc>
        <w:tc>
          <w:tcPr>
            <w:tcW w:type="dxa" w:w="4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untuk usaha ritel dan perdagangan skala menengah</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Di atas Rp 500 juta</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4.2 Kredit Konsumer</w:t>
      </w:r>
    </w:p>
    <w:p>
      <w:pPr>
        <w:spacing w:after="80" w:before="80"/>
        <w:jc w:val="both"/>
      </w:pPr>
      <w:r>
        <w:rPr>
          <w:rFonts w:ascii="Arial" w:cs="Arial" w:eastAsia="Arial" w:hAnsi="Arial"/>
          <w:color w:val="2C2C2C"/>
          <w:sz w:val="22"/>
          <w:szCs w:val="22"/>
        </w:rPr>
        <w:t xml:space="preserve">Kredit konsumer diberikan kepada perorangan untuk memenuhi kebutuhan konsumtif (bukan untuk kegiatan usaha produktif).</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Produk</w:t>
            </w:r>
          </w:p>
        </w:tc>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46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KPR BRI</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Pemilikan Rumah</w:t>
            </w:r>
          </w:p>
        </w:tc>
        <w:tc>
          <w:tcPr>
            <w:tcW w:type="dxa" w:w="4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Pembelian rumah baru, bekas, apartemen, ruko, renovasi</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KKB BRI</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Kendaraan Bermotor</w:t>
            </w:r>
          </w:p>
        </w:tc>
        <w:tc>
          <w:tcPr>
            <w:tcW w:type="dxa" w:w="4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Pembelian mobil baru atau bekas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Briguna</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 Guna</w:t>
            </w:r>
          </w:p>
        </w:tc>
        <w:tc>
          <w:tcPr>
            <w:tcW w:type="dxa" w:w="4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multiguna dengan agunan gaji/pensiun, untuk ASN dan karyawan</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Pinang</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Pinjaman Kilat</w:t>
            </w:r>
          </w:p>
        </w:tc>
        <w:tc>
          <w:tcPr>
            <w:tcW w:type="dxa" w:w="4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digital cepat cair via BRImo, tanpa agunan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Ceria BRI</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tanpa agunan digital</w:t>
            </w:r>
          </w:p>
        </w:tc>
        <w:tc>
          <w:tcPr>
            <w:tcW w:type="dxa" w:w="4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digital untuk belanja online di mitra Ceria</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4.3 Kredit Korporasi</w:t>
      </w:r>
    </w:p>
    <w:p>
      <w:pPr>
        <w:spacing w:after="80" w:before="80"/>
        <w:jc w:val="both"/>
      </w:pPr>
      <w:r>
        <w:rPr>
          <w:rFonts w:ascii="Arial" w:cs="Arial" w:eastAsia="Arial" w:hAnsi="Arial"/>
          <w:color w:val="2C2C2C"/>
          <w:sz w:val="22"/>
          <w:szCs w:val="22"/>
        </w:rPr>
        <w:t xml:space="preserve">Kredit korporasi diberikan kepada perusahaan besar untuk kebutuhan modal kerja dan investasi skala besar.</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Jenis Kredit Korporasi</w:t>
            </w:r>
          </w:p>
        </w:tc>
        <w:tc>
          <w:tcPr>
            <w:tcW w:type="dxa" w:w="6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Modal Kerja (KMK)</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jangka pendek untuk membiayai kebutuhan operasional perusahaan sehari-hari</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Investasi (KI)</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jangka panjang untuk pembelian aset tetap atau ekspansi bisnis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Sindikasi</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besar yang dibiayai bersama oleh beberapa bank (konsorsium)</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Trade Finance</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Pembiayaan ekspor impor: L/C, SKBDN, Invoice Financing</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Garansi</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Jaminan bank kepada pihak ketiga atas kewajiban nasabah</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4.4 Proses Kredit – 5C Analysis</w:t>
      </w:r>
    </w:p>
    <w:p>
      <w:pPr>
        <w:spacing w:after="80" w:before="80"/>
        <w:jc w:val="both"/>
      </w:pPr>
      <w:r>
        <w:rPr>
          <w:rFonts w:ascii="Arial" w:cs="Arial" w:eastAsia="Arial" w:hAnsi="Arial"/>
          <w:color w:val="2C2C2C"/>
          <w:sz w:val="22"/>
          <w:szCs w:val="22"/>
        </w:rPr>
        <w:t xml:space="preserve">Sebelum memberikan kredit, bank wajib melakukan analisis mendalam menggunakan prinsip 5C untuk menilai kelayakan debitur:</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226"/>
      </w:tblGrid>
      <w:tr>
        <w:trPr>
          <w:tblHeader/>
        </w:trPr>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Prinsip 5C</w:t>
            </w:r>
          </w:p>
        </w:tc>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Bahasa Indonesia</w:t>
            </w:r>
          </w:p>
        </w:tc>
        <w:tc>
          <w:tcPr>
            <w:tcW w:type="dxa" w:w="5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Yang Dianalisis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Character</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Karakter</w:t>
            </w:r>
          </w:p>
        </w:tc>
        <w:tc>
          <w:tcPr>
            <w:tcW w:type="dxa" w:w="5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Rekam jejak, reputasi, dan itikad baik calon debitur membayar kewajiban</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Capacity</w:t>
            </w:r>
          </w:p>
        </w:tc>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Kapasitas</w:t>
            </w:r>
          </w:p>
        </w:tc>
        <w:tc>
          <w:tcPr>
            <w:tcW w:type="dxa" w:w="5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Kemampuan finansial debitur untuk membayar kembali kredit (cashflow)</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Capital</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Modal</w:t>
            </w:r>
          </w:p>
        </w:tc>
        <w:tc>
          <w:tcPr>
            <w:tcW w:type="dxa" w:w="5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Kekayaan bersih dan modal yang dimiliki debitur sebagai buffer risiko</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Collateral</w:t>
            </w:r>
          </w:p>
        </w:tc>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Agunan / Jaminan</w:t>
            </w:r>
          </w:p>
        </w:tc>
        <w:tc>
          <w:tcPr>
            <w:tcW w:type="dxa" w:w="5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Aset yang dijaminkan sebagai pengaman jika debitur wanprestasi</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Condition</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Kondisi</w:t>
            </w:r>
          </w:p>
        </w:tc>
        <w:tc>
          <w:tcPr>
            <w:tcW w:type="dxa" w:w="5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Kondisi ekonomi makro dan prospek bisnis sektor debitur</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4.5 Kolektibilitas Kredit</w:t>
      </w:r>
    </w:p>
    <w:p>
      <w:pPr>
        <w:spacing w:after="80" w:before="80"/>
        <w:jc w:val="both"/>
      </w:pPr>
      <w:r>
        <w:rPr>
          <w:rFonts w:ascii="Arial" w:cs="Arial" w:eastAsia="Arial" w:hAnsi="Arial"/>
          <w:color w:val="2C2C2C"/>
          <w:sz w:val="22"/>
          <w:szCs w:val="22"/>
        </w:rPr>
        <w:t xml:space="preserve">Kolektibilitas adalah penggolongan kualitas kredit berdasarkan ketepatan pembayaran oleh debitur. Bank Indonesia dan OJK menetapkan 5 tingkat kolektibilitas: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626"/>
        <w:gridCol w:w="1800"/>
      </w:tblGrid>
      <w:tr>
        <w:trPr>
          <w:tblHeader/>
        </w:trPr>
        <w:tc>
          <w:tcPr>
            <w:tcW w:type="dxa" w:w="1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Kolektibilitas</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Status</w:t>
            </w:r>
          </w:p>
        </w:tc>
        <w:tc>
          <w:tcPr>
            <w:tcW w:type="dxa" w:w="36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Kriteria</w:t>
            </w:r>
          </w:p>
        </w:tc>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Kategori</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Kol-1</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Lancar</w:t>
            </w:r>
          </w:p>
        </w:tc>
        <w:tc>
          <w:tcPr>
            <w:tcW w:type="dxa" w:w="3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Pembayaran tepat waktu atau keterlambatan ≤ 30 hari</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Performing Loan (PL)</w:t>
            </w:r>
          </w:p>
        </w:tc>
      </w:tr>
      <w:tr>
        <w:tc>
          <w:tcPr>
            <w:tcW w:type="dxa" w:w="1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Kol-2</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Dalam Perhatian Khusus (DPK)</w:t>
            </w:r>
          </w:p>
        </w:tc>
        <w:tc>
          <w:tcPr>
            <w:tcW w:type="dxa" w:w="3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Keterlambatan 31–90 hari</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Performing Loan (PL)</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Kol-3</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Kurang Lancar</w:t>
            </w:r>
          </w:p>
        </w:tc>
        <w:tc>
          <w:tcPr>
            <w:tcW w:type="dxa" w:w="3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Keterlambatan 91–120 hari</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Non-Performing Loan (NPL)</w:t>
            </w:r>
          </w:p>
        </w:tc>
      </w:tr>
      <w:tr>
        <w:tc>
          <w:tcPr>
            <w:tcW w:type="dxa" w:w="1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Kol-4</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Diragukan</w:t>
            </w:r>
          </w:p>
        </w:tc>
        <w:tc>
          <w:tcPr>
            <w:tcW w:type="dxa" w:w="3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Keterlambatan 121–180 hari</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Non-Performing Loan (NPL)</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Kol-5</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Macet</w:t>
            </w:r>
          </w:p>
        </w:tc>
        <w:tc>
          <w:tcPr>
            <w:tcW w:type="dxa" w:w="3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Keterlambatan &gt; 180 hari</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Non-Performing Loan (NPL)</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FF8E1" w:val="clear"/>
            <w:tcMar>
              <w:top w:type="dxa" w:w="160"/>
              <w:left w:type="dxa" w:w="220"/>
              <w:bottom w:type="dxa" w:w="160"/>
              <w:right w:type="dxa" w:w="220"/>
            </w:tcMar>
          </w:tcPr>
          <w:p>
            <w:pPr>
              <w:spacing w:after="60" w:before="0"/>
            </w:pPr>
            <w:r>
              <w:rPr>
                <w:rFonts w:ascii="Arial" w:cs="Arial" w:eastAsia="Arial" w:hAnsi="Arial"/>
                <w:b/>
                <w:bCs/>
                <w:color w:val="7B4F00"/>
                <w:sz w:val="22"/>
                <w:szCs w:val="22"/>
              </w:rPr>
              <w:t xml:space="preserve">NPL – Indikator Kritis Kesehatan Bank:</w:t>
            </w:r>
          </w:p>
          <w:p>
            <w:pPr>
              <w:spacing w:after="0" w:before="0"/>
              <w:jc w:val="both"/>
            </w:pPr>
            <w:r>
              <w:rPr>
                <w:rFonts w:ascii="Arial" w:cs="Arial" w:eastAsia="Arial" w:hAnsi="Arial"/>
                <w:color w:val="4A3000"/>
                <w:sz w:val="21"/>
                <w:szCs w:val="21"/>
              </w:rPr>
              <w:t xml:space="preserve">Non-Performing Loan (NPL) adalah rasio kredit bermasalah (Kol 3+4+5) terhadap total kredit. Batas aman NPL yang ditetapkan OJK adalah di bawah 5%. NPL yang tinggi menandakan banyak debitur yang tidak bisa bayar, yang bisa mengancam kesehatan bank secara keseluruhan.</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5 – Rasio Keuangan Perbankan</w:t>
      </w:r>
    </w:p>
    <w:p>
      <w:pPr>
        <w:spacing w:after="60" w:before="60"/>
      </w:pPr>
      <w:r>
        <w:t xml:space="preserve"/>
      </w:r>
    </w:p>
    <w:p>
      <w:pPr>
        <w:spacing w:after="80" w:before="80"/>
        <w:jc w:val="both"/>
      </w:pPr>
      <w:r>
        <w:rPr>
          <w:rFonts w:ascii="Arial" w:cs="Arial" w:eastAsia="Arial" w:hAnsi="Arial"/>
          <w:color w:val="2C2C2C"/>
          <w:sz w:val="22"/>
          <w:szCs w:val="22"/>
        </w:rPr>
        <w:t xml:space="preserve">Rasio keuangan digunakan untuk mengukur kesehatan dan kinerja bank. Sebagai IT developer di bank, kamu akan sering membuat dashboard, laporan, dan sistem yang menampilkan rasio-rasio ini. Memahami artinya sangat penting agar kamu tahu konteks dari data yang kamu olah.</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5.1 Rasio Permodalan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1400"/>
        <w:gridCol w:w="1026"/>
      </w:tblGrid>
      <w:tr>
        <w:trPr>
          <w:tblHeader/>
        </w:trPr>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Rasio</w:t>
            </w:r>
          </w:p>
        </w:tc>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Rumus</w:t>
            </w:r>
          </w:p>
        </w:tc>
        <w:tc>
          <w:tcPr>
            <w:tcW w:type="dxa" w:w="1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Standar OJK</w:t>
            </w:r>
          </w:p>
        </w:tc>
        <w:tc>
          <w:tcPr>
            <w:tcW w:type="dxa" w:w="1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CAR</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Capital Adequacy Ratio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Modal / ATMR x 100%</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Min 8%</w:t>
            </w:r>
          </w:p>
        </w:tc>
        <w:tc>
          <w:tcPr>
            <w:tcW w:type="dxa" w:w="1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Kecukupan modal bank untuk menanggung risiko. Makin tinggi makin baik.</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ATMR</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Aset Tertimbang Menurut Risiko</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Total aset x bobot risiko</w:t>
            </w:r>
          </w:p>
        </w:tc>
        <w:tc>
          <w:tcPr>
            <w:tcW w:type="dxa" w:w="1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Referensi</w:t>
            </w:r>
          </w:p>
        </w:tc>
        <w:tc>
          <w:tcPr>
            <w:tcW w:type="dxa" w:w="1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Nilai aset yang sudah disesuaikan dengan tingkat risikonya</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5.2 Rasio Likuiditas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1600"/>
        <w:gridCol w:w="826"/>
      </w:tblGrid>
      <w:tr>
        <w:trPr>
          <w:tblHeader/>
        </w:trPr>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Rasio</w:t>
            </w:r>
          </w:p>
        </w:tc>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Rumus</w:t>
            </w:r>
          </w:p>
        </w:tc>
        <w:tc>
          <w:tcPr>
            <w:tcW w:type="dxa" w:w="1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Standar OJK</w:t>
            </w:r>
          </w:p>
        </w:tc>
        <w:tc>
          <w:tcPr>
            <w:tcW w:type="dxa" w:w="8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LDR</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Loan to Deposit Ratio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Total Kredit / DPK x 100%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78%–100%</w:t>
            </w:r>
          </w:p>
        </w:tc>
        <w:tc>
          <w:tcPr>
            <w:tcW w:type="dxa" w:w="8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Seberapa besar dana pihak ketiga disalurkan sebagai kredit</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LCR</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Liquidity Coverage Ratio</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Aset Likuid / Net Cash Outflow x 100%</w:t>
            </w:r>
          </w:p>
        </w:tc>
        <w:tc>
          <w:tcPr>
            <w:tcW w:type="dxa" w:w="1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Min 100%</w:t>
            </w:r>
          </w:p>
        </w:tc>
        <w:tc>
          <w:tcPr>
            <w:tcW w:type="dxa" w:w="8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Kemampuan bank menghadapi tekanan likuiditas 30 hari ke depan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GWM</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Giro Wajib Minimum</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Saldo di BI / DPK x 100%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Sesuai ketentuan BI</w:t>
            </w:r>
          </w:p>
        </w:tc>
        <w:tc>
          <w:tcPr>
            <w:tcW w:type="dxa" w:w="8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Cadangan minimum yang harus dipelihara bank di Bank Indonesia</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5.3 Rasio Profitabilitas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600"/>
        <w:gridCol w:w="1400"/>
        <w:gridCol w:w="1426"/>
      </w:tblGrid>
      <w:tr>
        <w:trPr>
          <w:tblHeader/>
        </w:trPr>
        <w:tc>
          <w:tcPr>
            <w:tcW w:type="dxa" w:w="1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Rasio</w:t>
            </w:r>
          </w:p>
        </w:tc>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2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Rumus</w:t>
            </w:r>
          </w:p>
        </w:tc>
        <w:tc>
          <w:tcPr>
            <w:tcW w:type="dxa" w:w="1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Standar</w:t>
            </w:r>
          </w:p>
        </w:tc>
        <w:tc>
          <w:tcPr>
            <w:tcW w:type="dxa" w:w="14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ROA</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Return on Assets</w:t>
            </w:r>
          </w:p>
        </w:tc>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Laba Bersih / Total Aset x 100%</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&gt; 1,5%</w:t>
            </w:r>
          </w:p>
        </w:tc>
        <w:tc>
          <w:tcPr>
            <w:tcW w:type="dxa" w:w="1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Kemampuan menghasilkan laba dari total aset yang dimiliki</w:t>
            </w:r>
          </w:p>
        </w:tc>
      </w:tr>
      <w:tr>
        <w:tc>
          <w:tcPr>
            <w:tcW w:type="dxa" w:w="1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ROE</w:t>
            </w:r>
          </w:p>
        </w:tc>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Return on Equity</w:t>
            </w:r>
          </w:p>
        </w:tc>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Laba Bersih / Modal x 100%</w:t>
            </w:r>
          </w:p>
        </w:tc>
        <w:tc>
          <w:tcPr>
            <w:tcW w:type="dxa" w:w="1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Makin tinggi makin baik</w:t>
            </w:r>
          </w:p>
        </w:tc>
        <w:tc>
          <w:tcPr>
            <w:tcW w:type="dxa" w:w="1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Kemampuan menghasilkan laba dari modal yang ditanamkan</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NIM</w:t>
            </w:r>
          </w:p>
        </w:tc>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Net Interest Margin</w:t>
            </w:r>
          </w:p>
        </w:tc>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Pendapatan Bunga Bersih / Aset Produktif x 100%</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&gt; 3%</w:t>
            </w:r>
          </w:p>
        </w:tc>
        <w:tc>
          <w:tcPr>
            <w:tcW w:type="dxa" w:w="1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Selisih antara bunga kredit dan bunga simpanan dibagi aset produktif</w:t>
            </w:r>
          </w:p>
        </w:tc>
      </w:tr>
      <w:tr>
        <w:tc>
          <w:tcPr>
            <w:tcW w:type="dxa" w:w="1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BOPO</w:t>
            </w:r>
          </w:p>
        </w:tc>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Biaya Op. / Pendapatan Op.</w:t>
            </w:r>
          </w:p>
        </w:tc>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Biaya Operasional / Pendapatan Operasional x 100%</w:t>
            </w:r>
          </w:p>
        </w:tc>
        <w:tc>
          <w:tcPr>
            <w:tcW w:type="dxa" w:w="1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&lt; 85%</w:t>
            </w:r>
          </w:p>
        </w:tc>
        <w:tc>
          <w:tcPr>
            <w:tcW w:type="dxa" w:w="1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Makin rendah makin efisien. Di atas 90% = tidak efisien</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5.4 Rasio Kualitas 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600"/>
        <w:gridCol w:w="1400"/>
        <w:gridCol w:w="826"/>
      </w:tblGrid>
      <w:tr>
        <w:trPr>
          <w:tblHeader/>
        </w:trPr>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Rasio</w:t>
            </w:r>
          </w:p>
        </w:tc>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2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Rumus</w:t>
            </w:r>
          </w:p>
        </w:tc>
        <w:tc>
          <w:tcPr>
            <w:tcW w:type="dxa" w:w="1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Standar OJK</w:t>
            </w:r>
          </w:p>
        </w:tc>
        <w:tc>
          <w:tcPr>
            <w:tcW w:type="dxa" w:w="8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Penjelasan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NPL Gross</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Non-Performing Loan Bruto</w:t>
            </w:r>
          </w:p>
        </w:tc>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Bermasalah / Total Kredit x 100%</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&lt; 5%</w:t>
            </w:r>
          </w:p>
        </w:tc>
        <w:tc>
          <w:tcPr>
            <w:tcW w:type="dxa" w:w="8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Rasio kredit macet sebelum dikurangi CKPN</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NPL Net</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Non-Performing Loan Neto</w:t>
            </w:r>
          </w:p>
        </w:tc>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Bermasalah – CKPN) / Total Kredit x 100%</w:t>
            </w:r>
          </w:p>
        </w:tc>
        <w:tc>
          <w:tcPr>
            <w:tcW w:type="dxa" w:w="1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&lt; 5%</w:t>
            </w:r>
          </w:p>
        </w:tc>
        <w:tc>
          <w:tcPr>
            <w:tcW w:type="dxa" w:w="8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Rasio kredit macet setelah dikurangi cadangan kerugian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CKPN</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Cadangan Kerugian Penurunan Nilai</w:t>
            </w:r>
          </w:p>
        </w:tc>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Sesuai PSAK 71 (IFRS 9)</w:t>
            </w:r>
          </w:p>
        </w:tc>
        <w:tc>
          <w:tcPr>
            <w:tcW w:type="dxa" w:w="1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Sesuai regulasi</w:t>
            </w:r>
          </w:p>
        </w:tc>
        <w:tc>
          <w:tcPr>
            <w:tcW w:type="dxa" w:w="8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Cadangan yang dibentuk untuk menutup potensi kerugian kredit</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5.5 Ringkasan Kinerja BRI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Indikator</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Posisi 2024</w:t>
            </w:r>
          </w:p>
        </w:tc>
        <w:tc>
          <w:tcPr>
            <w:tcW w:type="dxa" w:w="4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Total Aset</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Terbesar di Indonesia</w:t>
            </w:r>
          </w:p>
        </w:tc>
        <w:tc>
          <w:tcPr>
            <w:tcW w:type="dxa" w:w="4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terbesar berdasarkan total aset</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Pengguna BRImo</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38,61 juta user</w:t>
            </w:r>
          </w:p>
        </w:tc>
        <w:tc>
          <w:tcPr>
            <w:tcW w:type="dxa" w:w="4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Aplikasi mobile banking terpopuler di Indonesia</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Volume Transaksi BRImo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Rp 5.596 triliun</w:t>
            </w:r>
          </w:p>
        </w:tc>
        <w:tc>
          <w:tcPr>
            <w:tcW w:type="dxa" w:w="4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Total nilai transaksi melalui BRImo selama 2024</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Segmen UMKM</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80%+ portofolio kredit</w:t>
            </w:r>
          </w:p>
        </w:tc>
        <w:tc>
          <w:tcPr>
            <w:tcW w:type="dxa" w:w="4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 sebagai bank UMKM terbesar di Asia Tenggara</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NPL Industri (referensi)</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2,22% (gross)</w:t>
            </w:r>
          </w:p>
        </w:tc>
        <w:tc>
          <w:tcPr>
            <w:tcW w:type="dxa" w:w="4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Data industri perbankan nasional TW II 2025</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CAR Industri (referensi)</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25,81%</w:t>
            </w:r>
          </w:p>
        </w:tc>
        <w:tc>
          <w:tcPr>
            <w:tcW w:type="dxa" w:w="4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Data industri perbankan nasional TW II 2025</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6 – Manajemen Risiko Perbankan</w:t>
      </w:r>
    </w:p>
    <w:p>
      <w:pPr>
        <w:spacing w:after="60" w:before="60"/>
      </w:pPr>
      <w:r>
        <w:t xml:space="preserve"/>
      </w:r>
    </w:p>
    <w:p>
      <w:pPr>
        <w:spacing w:after="80" w:before="80"/>
        <w:jc w:val="both"/>
      </w:pPr>
      <w:r>
        <w:rPr>
          <w:rFonts w:ascii="Arial" w:cs="Arial" w:eastAsia="Arial" w:hAnsi="Arial"/>
          <w:color w:val="2C2C2C"/>
          <w:sz w:val="22"/>
          <w:szCs w:val="22"/>
        </w:rPr>
        <w:t xml:space="preserve">Manajemen risiko adalah proses mengidentifikasi, mengukur, memantau, dan mengendalikan risiko yang dihadapi bank. Setiap bank di Indonesia wajib menerapkan manajemen risiko sesuai POJK No. 18/POJK.03/2016 tentang Penerapan Manajemen Risiko bagi Bank Umum.</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6.1 Jenis-Jenis Risiko Bank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Jenis Risiko</w:t>
            </w:r>
          </w:p>
        </w:tc>
        <w:tc>
          <w:tcPr>
            <w:tcW w:type="dxa" w:w="3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Definisi</w:t>
            </w:r>
          </w:p>
        </w:tc>
        <w:tc>
          <w:tcPr>
            <w:tcW w:type="dxa" w:w="34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Contoh Kejadian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Risiko Kredit</w:t>
            </w:r>
          </w:p>
        </w:tc>
        <w:tc>
          <w:tcPr>
            <w:tcW w:type="dxa" w:w="3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Risiko akibat kegagalan debitur memenuhi kewajibannya</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Debitur KPR tidak bisa bayar cicilan, NPL naik</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Risiko Likuiditas</w:t>
            </w:r>
          </w:p>
        </w:tc>
        <w:tc>
          <w:tcPr>
            <w:tcW w:type="dxa" w:w="3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Risiko ketidakmampuan bank memenuhi kewajiban jangka pendek</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kekurangan dana tunai untuk memenuhi penarikan massal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Risiko Pasar</w:t>
            </w:r>
          </w:p>
        </w:tc>
        <w:tc>
          <w:tcPr>
            <w:tcW w:type="dxa" w:w="3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Risiko kerugian akibat perubahan faktor pasar</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Kenaikan suku bunga menyebabkan harga obligasi turun</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Risiko Operasional</w:t>
            </w:r>
          </w:p>
        </w:tc>
        <w:tc>
          <w:tcPr>
            <w:tcW w:type="dxa" w:w="3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Risiko akibat kegagalan sistem, proses, atau manusia</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Sistem core banking down, fraud karyawan, serangan siber</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Risiko Hukum</w:t>
            </w:r>
          </w:p>
        </w:tc>
        <w:tc>
          <w:tcPr>
            <w:tcW w:type="dxa" w:w="3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Risiko kerugian akibat kelemahan aspek hukum</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Perjanjian kredit tidak mengikat, sengketa hukum</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Risiko Reputasi</w:t>
            </w:r>
          </w:p>
        </w:tc>
        <w:tc>
          <w:tcPr>
            <w:tcW w:type="dxa" w:w="3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Risiko kerusakan reputasi akibat pemberitaan negatif</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Kasus penipuan yang viral di media sosial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Risiko Strategik</w:t>
            </w:r>
          </w:p>
        </w:tc>
        <w:tc>
          <w:tcPr>
            <w:tcW w:type="dxa" w:w="3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Risiko kerugian akibat keputusan bisnis yang salah</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Ekspansi ke pasar yang tidak tepat</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Risiko Kepatuhan</w:t>
            </w:r>
          </w:p>
        </w:tc>
        <w:tc>
          <w:tcPr>
            <w:tcW w:type="dxa" w:w="3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Risiko akibat tidak mematuhi peraturan yang berlaku</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Pelanggaran POJK, dikenakan sanksi OJK</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6.2 Risiko Operasional dan Peran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3F0FC" w:val="clear"/>
            <w:tcMar>
              <w:top w:type="dxa" w:w="160"/>
              <w:left w:type="dxa" w:w="220"/>
              <w:bottom w:type="dxa" w:w="160"/>
              <w:right w:type="dxa" w:w="220"/>
            </w:tcMar>
          </w:tcPr>
          <w:p>
            <w:pPr>
              <w:spacing w:after="60" w:before="0"/>
            </w:pPr>
            <w:r>
              <w:rPr>
                <w:rFonts w:ascii="Arial" w:cs="Arial" w:eastAsia="Arial" w:hAnsi="Arial"/>
                <w:b/>
                <w:bCs/>
                <w:color w:val="1A3A6B"/>
                <w:sz w:val="22"/>
                <w:szCs w:val="22"/>
              </w:rPr>
              <w:t xml:space="preserve">Relevansi untuk BFLP IT:</w:t>
            </w:r>
          </w:p>
          <w:p>
            <w:pPr>
              <w:spacing w:after="0" w:before="0"/>
              <w:jc w:val="both"/>
            </w:pPr>
            <w:r>
              <w:rPr>
                <w:rFonts w:ascii="Arial" w:cs="Arial" w:eastAsia="Arial" w:hAnsi="Arial"/>
                <w:color w:val="1A3060"/>
                <w:sz w:val="21"/>
                <w:szCs w:val="21"/>
              </w:rPr>
              <w:t xml:space="preserve">Sebagai IT developer di BRI, kamu berperan langsung dalam mitigasi risiko operasional. Sistem yang kamu bangun harus memiliki high availability, disaster recovery plan, keamanan data (enkripsi, autentikasi), audit trail yang lengkap, dan backup yang andal. Setiap downtime sistem banking adalah risiko operasional yang nyata.</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Area Risiko Operasional</w:t>
            </w:r>
          </w:p>
        </w:tc>
        <w:tc>
          <w:tcPr>
            <w:tcW w:type="dxa" w:w="6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Peran IT dalam Mitigasi</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Core Banking System down</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High availability, load balancing, failover otomatis</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Kehilangan data nasabah</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Backup reguler, enkripsi data, disaster recovery center (DRC)</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Serangan siber / fraud digital</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Firewall, IDS/IPS, enkripsi end-to-end, 2FA, fraud detection system</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Human error dalam transaksi</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Validasi input, maker-checker workflow, audit trail</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Pencucian uang digital</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AML system, transaction monitoring, real-time alert</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6.3 Kerangka RGEC (Risk-based Bank Rating)</w:t>
      </w:r>
    </w:p>
    <w:p>
      <w:pPr>
        <w:spacing w:after="80" w:before="80"/>
        <w:jc w:val="both"/>
      </w:pPr>
      <w:r>
        <w:rPr>
          <w:rFonts w:ascii="Arial" w:cs="Arial" w:eastAsia="Arial" w:hAnsi="Arial"/>
          <w:color w:val="2C2C2C"/>
          <w:sz w:val="22"/>
          <w:szCs w:val="22"/>
        </w:rPr>
        <w:t xml:space="preserve">OJK menggunakan metode RGEC untuk menilai tingkat kesehatan bank secara menyeluruh. Metode ini menggantikan metode CAMELS sejak 2011.</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5826"/>
      </w:tblGrid>
      <w:tr>
        <w:trPr>
          <w:tblHeader/>
        </w:trPr>
        <w:tc>
          <w:tcPr>
            <w:tcW w:type="dxa" w:w="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Komponen RGEC</w:t>
            </w:r>
          </w:p>
        </w:tc>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58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Yang Dinilai</w:t>
            </w:r>
          </w:p>
        </w:tc>
      </w:tr>
      <w:tr>
        <w:tc>
          <w:tcPr>
            <w:tcW w:type="dxa" w:w="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w:t>
            </w:r>
          </w:p>
        </w:tc>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Risk Profile (Profil Risiko)</w:t>
            </w:r>
          </w:p>
        </w:tc>
        <w:tc>
          <w:tcPr>
            <w:tcW w:type="dxa" w:w="58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Kualitas manajemen 8 jenis risiko dan kecukupan sistem pengendalian</w:t>
            </w:r>
          </w:p>
        </w:tc>
      </w:tr>
      <w:tr>
        <w:tc>
          <w:tcPr>
            <w:tcW w:type="dxa" w:w="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G</w:t>
            </w:r>
          </w:p>
        </w:tc>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Good Corporate Governance (GCG)</w:t>
            </w:r>
          </w:p>
        </w:tc>
        <w:tc>
          <w:tcPr>
            <w:tcW w:type="dxa" w:w="58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Tata kelola bank: transparansi, akuntabilitas, independensi, fairness</w:t>
            </w:r>
          </w:p>
        </w:tc>
      </w:tr>
      <w:tr>
        <w:tc>
          <w:tcPr>
            <w:tcW w:type="dxa" w:w="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Earnings (Rentabilitas)</w:t>
            </w:r>
          </w:p>
        </w:tc>
        <w:tc>
          <w:tcPr>
            <w:tcW w:type="dxa" w:w="58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Kemampuan menghasilkan laba: ROA, NIM, BOPO</w:t>
            </w:r>
          </w:p>
        </w:tc>
      </w:tr>
      <w:tr>
        <w:tc>
          <w:tcPr>
            <w:tcW w:type="dxa" w:w="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w:t>
            </w:r>
          </w:p>
        </w:tc>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Capital (Permodalan)</w:t>
            </w:r>
          </w:p>
        </w:tc>
        <w:tc>
          <w:tcPr>
            <w:tcW w:type="dxa" w:w="58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Kecukupan modal untuk menanggung risiko: CAR, modal tier 1</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7 – Digital Banking BRI</w:t>
      </w:r>
    </w:p>
    <w:p>
      <w:pPr>
        <w:spacing w:after="60" w:before="60"/>
      </w:pPr>
      <w:r>
        <w:t xml:space="preserve"/>
      </w:r>
    </w:p>
    <w:p>
      <w:pPr>
        <w:spacing w:after="80" w:before="80"/>
        <w:jc w:val="both"/>
      </w:pPr>
      <w:r>
        <w:rPr>
          <w:rFonts w:ascii="Arial" w:cs="Arial" w:eastAsia="Arial" w:hAnsi="Arial"/>
          <w:color w:val="2C2C2C"/>
          <w:sz w:val="22"/>
          <w:szCs w:val="22"/>
        </w:rPr>
        <w:t xml:space="preserve">BRI telah bertransformasi menjadi bank digital dengan berbagai inovasi teknologi finansial. Strategi hybrid bank – memadukan layanan digital dan fisik – menjadi kunci keberhasilan BRI menjangkau nasabah di seluruh Indonesia, dari kota besar hingga pelosok desa.</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7.1 BRImo – Mobile Banking Super App</w:t>
      </w:r>
    </w:p>
    <w:p>
      <w:pPr>
        <w:spacing w:after="80" w:before="80"/>
        <w:jc w:val="both"/>
      </w:pPr>
      <w:r>
        <w:rPr>
          <w:rFonts w:ascii="Arial" w:cs="Arial" w:eastAsia="Arial" w:hAnsi="Arial"/>
          <w:color w:val="2C2C2C"/>
          <w:sz w:val="22"/>
          <w:szCs w:val="22"/>
        </w:rPr>
        <w:t xml:space="preserve">BRImo adalah aplikasi mobile banking BRI yang menggabungkan berbagai layanan keuangan dalam satu platform. Per akhir 2024, BRImo telah memiliki 38,61 juta pengguna dengan volume transaksi mencapai Rp 5.596 triliun.</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Fitur BRImo</w:t>
            </w:r>
          </w:p>
        </w:tc>
        <w:tc>
          <w:tcPr>
            <w:tcW w:type="dxa" w:w="6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Transfer &amp; Pembayaran</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Transfer antar bank, bayar tagihan, BPJS, listrik, air, telepon</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Tabungan Digital</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Buka rekening baru tanpa ke kantor, Simpanan Pelajar digital</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Investasi</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Reksadana, Surat Berharga Negara (SBN), bancassurance</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Pinjaman Digital</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Pinang (kredit cepat), Ceria, top-up BRIZZI</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Cardless</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Tarik tunai tanpa kartu ATM di ATM BRI</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QRIS</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Pembayaran via QR Code di merchant yang terafiliasi</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Valas</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Jual beli valuta asing langsung dari aplikasi</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 Prioritas</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Layanan premium wealth management via BRImo</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7.2 BRILink – Agen Banking</w:t>
      </w:r>
    </w:p>
    <w:p>
      <w:pPr>
        <w:spacing w:after="80" w:before="80"/>
        <w:jc w:val="both"/>
      </w:pPr>
      <w:r>
        <w:rPr>
          <w:rFonts w:ascii="Arial" w:cs="Arial" w:eastAsia="Arial" w:hAnsi="Arial"/>
          <w:color w:val="2C2C2C"/>
          <w:sz w:val="22"/>
          <w:szCs w:val="22"/>
        </w:rPr>
        <w:t xml:space="preserve">BRILink adalah program agen perbankan BRI yang memungkinkan masyarakat (warung, toko, individu) menjadi agen layanan keuangan BRI. BRILink menjadi solusi inklusi keuangan untuk daerah yang belum memiliki kantor bank atau ATM.</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Layanan BRILink</w:t>
            </w:r>
          </w:p>
        </w:tc>
        <w:tc>
          <w:tcPr>
            <w:tcW w:type="dxa" w:w="6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Setor Tunai</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Nasabah bisa setor ke rekening BRI melalui agen BRILink</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Tarik Tunai</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Penarikan tunai dari rekening tanpa perlu ke ATM</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Transfer</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Transfer antar rekening BRI maupun bank lain</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Pembayaran</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Bayar tagihan, angsuran kredit, BPJS, dan lainnya</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Penyaluran Bansos</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Distribusi bantuan sosial pemerintah (PKH, BPNT, BLT)</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7.3 Internet Banking BRI</w:t>
      </w:r>
    </w:p>
    <w:p>
      <w:pPr>
        <w:spacing w:after="80" w:before="80"/>
        <w:jc w:val="both"/>
      </w:pPr>
      <w:r>
        <w:rPr>
          <w:rFonts w:ascii="Arial" w:cs="Arial" w:eastAsia="Arial" w:hAnsi="Arial"/>
          <w:color w:val="2C2C2C"/>
          <w:sz w:val="22"/>
          <w:szCs w:val="22"/>
        </w:rPr>
        <w:t xml:space="preserve">Internet banking BRI dapat diakses melalui browser web di ib.bri.co.id. Layanan ini memiliki limit transaksi yang lebih besar dibandingkan BRImo, cocok untuk kebutuhan bisnis dan korporat.</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7.4 BRIAPI – Open Banking</w:t>
      </w:r>
    </w:p>
    <w:p>
      <w:pPr>
        <w:spacing w:after="80" w:before="80"/>
        <w:jc w:val="both"/>
      </w:pPr>
      <w:r>
        <w:rPr>
          <w:rFonts w:ascii="Arial" w:cs="Arial" w:eastAsia="Arial" w:hAnsi="Arial"/>
          <w:color w:val="2C2C2C"/>
          <w:sz w:val="22"/>
          <w:szCs w:val="22"/>
        </w:rPr>
        <w:t xml:space="preserve">BRIAPI adalah gateway open banking BRI yang memungkinkan integrasi layanan BRI dengan platform digital pihak ketiga melalui API (Application Programming Interface). Ini sangat relevan untuk posisi IT developer di BRI.</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Kategori BRIAPI</w:t>
            </w:r>
          </w:p>
        </w:tc>
        <w:tc>
          <w:tcPr>
            <w:tcW w:type="dxa" w:w="6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Contoh Penggunaan</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Payment API</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Merchant e-commerce bisa terima pembayaran via BRIVA, BRIZZI, QRIS</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Account API</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Aplikasi pihak ketiga bisa cek saldo dan mutasi rekening nasabah (dengan consent)</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Disbursement API</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Perusahaan bisa salurkan gaji/komisi ke ribuan rekening sekaligus</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Loan API</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Fintech bisa ajukan dan cairkan kredit digital melalui ekosistem BRI</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7.5 Infrastruktur Digital BRI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Komponen</w:t>
            </w:r>
          </w:p>
        </w:tc>
        <w:tc>
          <w:tcPr>
            <w:tcW w:type="dxa" w:w="6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BRIsat</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Satelit milik BRI (diluncurkan 2016) untuk konektivitas cabang terpencil</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Data Center</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Pusat data tier IV untuk menjamin keamanan dan ketersediaan layanan 24/7</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DRC (Disaster Recovery Center)</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Pusat pemulihan bencana untuk memastikan continuity layanan saat insiden</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Core Banking System</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Sistem inti perbankan yang memproses seluruh transaksi BRI secara real-time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SLIK OJK</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Sistem Layanan Informasi Keuangan – cek riwayat kredit calon debitur</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8 – Sistem Pembayaran Indonesia</w:t>
      </w:r>
    </w:p>
    <w:p>
      <w:pPr>
        <w:spacing w:after="60" w:before="60"/>
      </w:pPr>
      <w:r>
        <w:t xml:space="preserve"/>
      </w:r>
    </w:p>
    <w:p>
      <w:pPr>
        <w:spacing w:after="80" w:before="80"/>
        <w:jc w:val="both"/>
      </w:pPr>
      <w:r>
        <w:rPr>
          <w:rFonts w:ascii="Arial" w:cs="Arial" w:eastAsia="Arial" w:hAnsi="Arial"/>
          <w:color w:val="2C2C2C"/>
          <w:sz w:val="22"/>
          <w:szCs w:val="22"/>
        </w:rPr>
        <w:t xml:space="preserve">Sistem pembayaran adalah sistem yang mencakup seluruh mekanisme, prosedur, aturan, dan infrastruktur untuk proses transfer dana antar pihak. Pemahaman ini penting bagi IT developer perbankan karena kamu akan membangun atau mengintegrasikan sistem dengan infrastruktur pembayaran nasional.</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8.1 Infrastruktur Pembayaran Nasional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Sistem</w:t>
            </w:r>
          </w:p>
        </w:tc>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Operator</w:t>
            </w:r>
          </w:p>
        </w:tc>
        <w:tc>
          <w:tcPr>
            <w:tcW w:type="dxa" w:w="46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Fungsi</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BI-RTGS</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Indonesia</w:t>
            </w:r>
          </w:p>
        </w:tc>
        <w:tc>
          <w:tcPr>
            <w:tcW w:type="dxa" w:w="4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Real-Time Gross Settlement – transfer antar bank nominal besar, setelmen real-time</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BI-FAST</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Indonesia</w:t>
            </w:r>
          </w:p>
        </w:tc>
        <w:tc>
          <w:tcPr>
            <w:tcW w:type="dxa" w:w="4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Infrastruktur pembayaran ritel cepat, 24/7, limit Rp 250 juta/transaksi</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SKNBI</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Indonesia</w:t>
            </w:r>
          </w:p>
        </w:tc>
        <w:tc>
          <w:tcPr>
            <w:tcW w:type="dxa" w:w="4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Sistem Kliring Nasional BI – transfer reguler, diselesaikan dalam batch</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ATM Bersama</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Artajasa</w:t>
            </w:r>
          </w:p>
        </w:tc>
        <w:tc>
          <w:tcPr>
            <w:tcW w:type="dxa" w:w="4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Jaringan ATM interbank, termasuk BRI</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GPN (Gerbang Pembayaran Nasional)</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Indonesia</w:t>
            </w:r>
          </w:p>
        </w:tc>
        <w:tc>
          <w:tcPr>
            <w:tcW w:type="dxa" w:w="46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Infrastruktur kartu debit nasional untuk kurangi ketergantungan Visa/Mastercard</w:t>
            </w:r>
          </w:p>
        </w:tc>
      </w:tr>
      <w:tr>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QRIS</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Indonesia</w:t>
            </w:r>
          </w:p>
        </w:tc>
        <w:tc>
          <w:tcPr>
            <w:tcW w:type="dxa" w:w="46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Quick Response Code Indonesian Standard – QR Code nasional yang terunifikasi</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8.2 Jenis-Jenis Transfer Dana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800"/>
        <w:gridCol w:w="2226"/>
      </w:tblGrid>
      <w:tr>
        <w:trPr>
          <w:tblHeader/>
        </w:trPr>
        <w:tc>
          <w:tcPr>
            <w:tcW w:type="dxa" w:w="2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Jenis Transfer</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Sistem yang Digunakan</w:t>
            </w:r>
          </w:p>
        </w:tc>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Waktu</w:t>
            </w:r>
          </w:p>
        </w:tc>
        <w:tc>
          <w:tcPr>
            <w:tcW w:type="dxa" w:w="2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Biaya</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Transfer Real-time (BI-FAST)</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BI-FAST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Instan, 24/7</w:t>
            </w:r>
          </w:p>
        </w:tc>
        <w:tc>
          <w:tcPr>
            <w:tcW w:type="dxa" w:w="2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Maks Rp 2.500</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Transfer RTGS</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BI-RTGS</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Instan (jam kerja)</w:t>
            </w:r>
          </w:p>
        </w:tc>
        <w:tc>
          <w:tcPr>
            <w:tcW w:type="dxa" w:w="2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Lebih mahal, untuk nominal besar</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Transfer SKN / LLG</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SKNBI</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H+1 atau H+2</w:t>
            </w:r>
          </w:p>
        </w:tc>
        <w:tc>
          <w:tcPr>
            <w:tcW w:type="dxa" w:w="2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Murah, untuk nominal sedang</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Transfer Online (sesama bank)</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Internal Core Banking</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Instan</w:t>
            </w:r>
          </w:p>
        </w:tc>
        <w:tc>
          <w:tcPr>
            <w:tcW w:type="dxa" w:w="2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Umumnya gratis</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8.3 Instrumen Pembayaran Digital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200"/>
        <w:gridCol w:w="3026"/>
      </w:tblGrid>
      <w:tr>
        <w:trPr>
          <w:tblHeader/>
        </w:trPr>
        <w:tc>
          <w:tcPr>
            <w:tcW w:type="dxa" w:w="2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Instrumen</w:t>
            </w:r>
          </w:p>
        </w:tc>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Jenis</w:t>
            </w:r>
          </w:p>
        </w:tc>
        <w:tc>
          <w:tcPr>
            <w:tcW w:type="dxa" w:w="22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Penerbit</w:t>
            </w:r>
          </w:p>
        </w:tc>
        <w:tc>
          <w:tcPr>
            <w:tcW w:type="dxa" w:w="3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Contoh</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Kartu Debit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Stored value (rekening)</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w:t>
            </w:r>
          </w:p>
        </w:tc>
        <w:tc>
          <w:tcPr>
            <w:tcW w:type="dxa" w:w="3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 Debit Card, Mastercard, GPN</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Kartu Kredit</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revolving</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w:t>
            </w:r>
          </w:p>
        </w:tc>
        <w:tc>
          <w:tcPr>
            <w:tcW w:type="dxa" w:w="3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 Credit Card, Visa, Mastercard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Uang Elektronik</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E-money</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 Non-bank</w:t>
            </w:r>
          </w:p>
        </w:tc>
        <w:tc>
          <w:tcPr>
            <w:tcW w:type="dxa" w:w="3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BRIZZI (BRI), GoPay, OVO, Dana</w:t>
            </w:r>
          </w:p>
        </w:tc>
      </w:tr>
      <w:tr>
        <w:tc>
          <w:tcPr>
            <w:tcW w:type="dxa" w:w="2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QRIS</w:t>
            </w:r>
          </w:p>
        </w:tc>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QR Code Payment</w:t>
            </w:r>
          </w:p>
        </w:tc>
        <w:tc>
          <w:tcPr>
            <w:tcW w:type="dxa" w:w="22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Indonesia</w:t>
            </w:r>
          </w:p>
        </w:tc>
        <w:tc>
          <w:tcPr>
            <w:tcW w:type="dxa" w:w="3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Semua merchant QR yang terunifikasi</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Virtual Account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Nomor unik pembayaran</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w:t>
            </w:r>
          </w:p>
        </w:tc>
        <w:tc>
          <w:tcPr>
            <w:tcW w:type="dxa" w:w="3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BRIVA untuk pembayaran e-commerce</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9 – Layanan Khusus dan Produk Lainnya BRI</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9.1 Wealth Management dan Bancassurance</w:t>
      </w:r>
    </w:p>
    <w:p>
      <w:pPr>
        <w:spacing w:after="80" w:before="80"/>
        <w:jc w:val="both"/>
      </w:pPr>
      <w:r>
        <w:rPr>
          <w:rFonts w:ascii="Arial" w:cs="Arial" w:eastAsia="Arial" w:hAnsi="Arial"/>
          <w:color w:val="2C2C2C"/>
          <w:sz w:val="22"/>
          <w:szCs w:val="22"/>
        </w:rPr>
        <w:t xml:space="preserve">Seiring dengan peningkatan segmen nasabah menengah-atas, BRI memperluas layanan ke wealth management (pengelolaan kekayaan) dan bancassurance (asuransi melalui bank).</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Layanan</w:t>
            </w:r>
          </w:p>
        </w:tc>
        <w:tc>
          <w:tcPr>
            <w:tcW w:type="dxa" w:w="62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Keterangan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 Prioritas</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Layanan premium untuk nasabah dengan dana kelolaan besar (high net worth individual)</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Reksadana</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Produk investasi kolektif yang dipasarkan melalui BRI sebagai Agen Penjual Reksadana</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Obligasi / SBN</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Surat Berharga Negara (ORI, Sukuk Ritel, SBR) yang dijual melalui BRI</w:t>
            </w:r>
          </w:p>
        </w:tc>
      </w:tr>
      <w:tr>
        <w:tc>
          <w:tcPr>
            <w:tcW w:type="dxa" w:w="2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Bancassurance</w:t>
            </w:r>
          </w:p>
        </w:tc>
        <w:tc>
          <w:tcPr>
            <w:tcW w:type="dxa" w:w="62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Produk asuransi jiwa dan asuransi umum yang dipasarkan melalui jaringan BRI</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Safe Deposit Box (SDB)</w:t>
            </w:r>
          </w:p>
        </w:tc>
        <w:tc>
          <w:tcPr>
            <w:tcW w:type="dxa" w:w="62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Kotak penyimpanan barang berharga di dalam brankas bank</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9.2 Trade Finance</w:t>
      </w:r>
    </w:p>
    <w:p>
      <w:pPr>
        <w:spacing w:after="80" w:before="80"/>
        <w:jc w:val="both"/>
      </w:pPr>
      <w:r>
        <w:rPr>
          <w:rFonts w:ascii="Arial" w:cs="Arial" w:eastAsia="Arial" w:hAnsi="Arial"/>
          <w:color w:val="2C2C2C"/>
          <w:sz w:val="22"/>
          <w:szCs w:val="22"/>
        </w:rPr>
        <w:t xml:space="preserve">Trade finance adalah layanan perbankan untuk mendukung transaksi perdagangan internasional dan domestik.</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Produk Trade Finance</w:t>
            </w:r>
          </w:p>
        </w:tc>
        <w:tc>
          <w:tcPr>
            <w:tcW w:type="dxa" w:w="6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 / Keterangan</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L/C (Letter of Credit)</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Surat kredit berdasarkan dokumen – jaminan pembayaran ekspor/impor</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SKBDN</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Surat Kredit Berdokumen Dalam Negeri – versi L/C untuk transaksi domestik</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Garansi</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Jaminan bank atas kewajiban nasabah kepada pihak ketiga (proyek, tender)</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Forfaiting</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Pembelian piutang dagang jangka panjang secara diskonto tanpa recourse</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Supply Chain Financing</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Pembiayaan rantai pasokan untuk supplier dan buyer korporat</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9.3 BRI Group dan Anak Perusahaan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Entitas</w:t>
            </w:r>
          </w:p>
        </w:tc>
        <w:tc>
          <w:tcPr>
            <w:tcW w:type="dxa" w:w="6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Fokus Bisnis</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BRI (induk)</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Bank umum komersial, fokus UMKM dan retail</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Raya Indonesia</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Bank digital anak BRI, fokus layanan keuangan digital</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 Syariah (kini bagian BSI)</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Telah merger ke Bank Syariah Indonesia (BSI) pada 2021</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 Finance</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Pembiayaan kendaraan dan konsumer</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 Insurance (BRINS)</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Asuransi umum</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 Life</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Asuransi jiwa</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BRI Danareksa Sekuritas</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Perantara pedagang efek dan investasi</w:t>
            </w:r>
          </w:p>
        </w:tc>
      </w:tr>
      <w:tr>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Pegadaian (Holding UMi)</w:t>
            </w:r>
          </w:p>
        </w:tc>
        <w:tc>
          <w:tcPr>
            <w:tcW w:type="dxa" w:w="6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Layanan gadai dan pembiayaan mikro – bagian Holding Ultra Mikro BRI</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PNM (Holding UMi)</w:t>
            </w:r>
          </w:p>
        </w:tc>
        <w:tc>
          <w:tcPr>
            <w:tcW w:type="dxa" w:w="6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Pembiayaan kelompok ultra mikro (Mekaar) – bagian Holding Ultra Mikro BRI</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Bab 10 – Glosarium Istilah Perbankan A–Z</w:t>
      </w:r>
    </w:p>
    <w:p>
      <w:pPr>
        <w:spacing w:after="60" w:before="60"/>
      </w:pPr>
      <w:r>
        <w:t xml:space="preserve"/>
      </w:r>
    </w:p>
    <w:p>
      <w:pPr>
        <w:spacing w:after="80" w:before="80"/>
        <w:jc w:val="both"/>
      </w:pPr>
      <w:r>
        <w:rPr>
          <w:rFonts w:ascii="Arial" w:cs="Arial" w:eastAsia="Arial" w:hAnsi="Arial"/>
          <w:color w:val="2C2C2C"/>
          <w:sz w:val="22"/>
          <w:szCs w:val="22"/>
        </w:rPr>
        <w:t xml:space="preserve">Berikut adalah daftar istilah perbankan yang paling sering ditemui, khususnya di lingkungan kerja BRI. Pelajari dan hafalkan istilah-istilah ini karena akan sangat sering digunakan dalam komunikasi sehari-hari di lingkungan banking.</w:t>
      </w:r>
    </w:p>
    <w:p>
      <w:pPr>
        <w:spacing w:after="60" w:before="60"/>
      </w:pPr>
      <w:r>
        <w:t xml:space="preserve"/>
      </w:r>
    </w:p>
    <w:p>
      <w:pPr>
        <w:pStyle w:val="Heading2"/>
        <w:spacing w:after="140" w:before="320"/>
      </w:pPr>
      <w:r>
        <w:rPr>
          <w:rFonts w:ascii="Arial" w:cs="Arial" w:eastAsia="Arial" w:hAnsi="Arial"/>
          <w:b/>
          <w:bCs/>
          <w:color w:val="1565C0"/>
          <w:sz w:val="28"/>
          <w:szCs w:val="28"/>
        </w:rPr>
        <w:t xml:space="preserve">10.1 Istilah A – D</w:t>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026"/>
      </w:tblGrid>
      <w:tr>
        <w:trPr>
          <w:tblHeader/>
        </w:trPr>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Istilah</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5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Definisi</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Agunan</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(Collateral)</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Aset yang diserahkan debitur sebagai jaminan atas kredit yang diterima</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AML</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Anti Money Laundering</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Program pencegahan dan pendeteksian praktik pencucian uang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APU PPT</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Anti Pencucian Uang &amp; Pencegahan Pendanaan Terorisme</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Program kepatuhan bank terhadap regulasi pencegahan kejahatan keuangan</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ARO</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Automatic Roll Over</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Perpanjangan otomatis deposito pada saat jatuh tempo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ATMR</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Aset Tertimbang Menurut Risiko</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Nilai aset yang disesuaikan berdasarkan bobot risiko untuk perhitungan CAR</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BI Rate</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BI 7-Day Reverse Repo Rate</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Suku bunga acuan Bank Indonesia yang mempengaruhi bunga pasar</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Baki Debet</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Outstanding Loan</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Sisa pokok kredit yang belum dibayar oleh debitur</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Bancassurance</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Produk asuransi yang dipasarkan melalui jaringan distribusi bank</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BOPO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Biaya Operasional Pendapatan Operasional</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Rasio efisiensi bank: biaya operasional dibagi pendapatan operasional</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CAR</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Capital Adequacy Ratio</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Rasio kecukupan modal bank terhadap ATMR, standar minimal 8%</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CASA</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Current Account Saving Account</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Rasio dana murah (giro+tabungan) terhadap total DPK</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CDD</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Customer Due Diligence</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Prosedur verifikasi identitas dan tujuan transaksi nasabah</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CKPN</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Cadangan Kerugian Penurunan Nilai</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Cadangan yang dibentuk untuk menutup potensi kerugian kredit (PSAK 71)</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Core Banking</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Core Banking System</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Sistem informasi inti perbankan yang memproses seluruh transaksi</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DPK</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Dana Pihak Ketiga</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Total dana yang dihimpun bank dari masyarakat: tabungan+deposito+giro</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10.2 Istilah E – K</w:t>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026"/>
      </w:tblGrid>
      <w:tr>
        <w:trPr>
          <w:tblHeader/>
        </w:trPr>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Istilah</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5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Definisi</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EDD</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Enhanced Due Diligence</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Prosedur KYC yang lebih ketat untuk nasabah berisiko tinggi (PEP, dll)</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FDR</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Financing to Deposit Ratio</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Versi LDR untuk bank syariah (pembiayaan / DPK)</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GCG</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Good Corporate Governance</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Tata kelola perusahaan yang baik: transparan, akuntabel, independen</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GPN</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Gerbang Pembayaran Nasional</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Infrastruktur kartu debit nasional yang dikelola Bank Indonesia</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GWM</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Giro Wajib Minimum</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Cadangan minimum yang wajib dipelihara bank di Bank Indonesia</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Holding UMi</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Holding Ultra Mikro</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Kelompok usaha BRI, Pegadaian, dan PNM untuk layanan ultra mikro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IFRS 9</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International Financial Reporting Standards 9</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Standar akuntansi internasional untuk instrumen keuangan, dasar PSAK 71</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Inklusi Keuangan</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Financial Inclusion</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Akses masyarakat terhadap produk dan layanan keuangan formal</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KKB</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Kendaraan Bermotor</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untuk pembelian kendaraan bermotor (mobil, motor)</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KMK</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Modal Kerja</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jangka pendek untuk membiayai kebutuhan operasional usaha</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KI</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Investasi</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jangka panjang untuk pembelian aset tetap atau ekspansi bisnis</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KPR</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Pemilikan Rumah</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Kredit untuk pembelian properti residensial</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KUR</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Usaha Rakyat</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bersubsidi pemerintah untuk UMKM dengan bunga 6%/tahun</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KYC</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Know Your Customer</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Prinsip mengenal nasabah secara mendalam sebelum memberikan layanan</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10.3 Istilah L – N</w:t>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026"/>
      </w:tblGrid>
      <w:tr>
        <w:trPr>
          <w:tblHeader/>
        </w:trPr>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Istilah</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5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Definisi</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L/C</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Letter of Credit</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Surat kredit dokumenter untuk transaksi ekspor-impor</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LCR</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Liquidity Coverage Ratio</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Rasio kecukupan aset likuid terhadap net cash outflow 30 hari ke depan</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LDR</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Loan to Deposit Ratio</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Rasio kredit terhadap DPK. Standar OJK: 78%–100%</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Likuiditas</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Kemampuan bank memenuhi kewajiban jangka pendek saat jatuh tempo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LPS</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Lembaga Penjamin Simpanan</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Lembaga yang menjamin simpanan nasabah hingga Rp 2 miliar/bank</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LTV</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Loan to Value</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Rasio kredit terhadap nilai agunan. Regulasi BI untuk KPR dan KKB</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Mutasi</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Transaction History</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Catatan seluruh transaksi debit dan kredit pada rekening nasabah</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NIM</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Net Interest Margin</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Pendapatan bunga bersih dibagi aset produktif. Standar: &gt; 3%</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NPL</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Non-Performing Loan</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Kredit bermasalah (Kol 3+4+5) dibagi total kredit. Standar: &lt; 5%</w:t>
            </w:r>
          </w:p>
        </w:tc>
      </w:tr>
    </w:tbl>
    <w:p>
      <w:pPr>
        <w:spacing w:after="60" w:before="60"/>
      </w:pPr>
      <w:r>
        <w:t xml:space="preserve"/>
      </w:r>
    </w:p>
    <w:p>
      <w:pPr>
        <w:pStyle w:val="Heading2"/>
        <w:spacing w:after="140" w:before="320"/>
      </w:pPr>
      <w:r>
        <w:rPr>
          <w:rFonts w:ascii="Arial" w:cs="Arial" w:eastAsia="Arial" w:hAnsi="Arial"/>
          <w:b/>
          <w:bCs/>
          <w:color w:val="1565C0"/>
          <w:sz w:val="28"/>
          <w:szCs w:val="28"/>
        </w:rPr>
        <w:t xml:space="preserve">10.4 Istilah O – Z</w:t>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026"/>
      </w:tblGrid>
      <w:tr>
        <w:trPr>
          <w:tblHeader/>
        </w:trPr>
        <w:tc>
          <w:tcPr>
            <w:tcW w:type="dxa" w:w="18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Istilah</w:t>
            </w:r>
          </w:p>
        </w:tc>
        <w:tc>
          <w:tcPr>
            <w:tcW w:type="dxa" w:w="24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Kepanjangan</w:t>
            </w:r>
          </w:p>
        </w:tc>
        <w:tc>
          <w:tcPr>
            <w:tcW w:type="dxa" w:w="50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Definisi</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OJK</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Otoritas Jasa Keuangan</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Lembaga pengatur dan pengawas sektor jasa keuangan Indonesia</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POJK</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Peraturan OJK</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Peraturan yang dikeluarkan OJK yang mengikat seluruh lembaga keuangan</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PPATK</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Pusat Pelaporan dan Analisis Transaksi Keuangan</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Lembaga yang menerima laporan transaksi keuangan mencurigakan (STR)</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QRIS</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Quick Response Code Indonesian Standard</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Standar QR Code nasional untuk pembayaran digital yang terunifikasi</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RGEC</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Metode penilaian kesehatan bank oleh OJK: Risk, GCG, Earnings, Capital</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ROA</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Return on Assets</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Laba bersih dibagi total aset. Standar: &gt; 1,5%</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ROE</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Return on Equity</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Laba bersih dibagi modal sendiri</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Rekening Koran</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Laporan mutasi rekening giro yang dikirim bank ke nasabah</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RTGS</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Real-Time Gross Settlement</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Sistem setelmen transaksi antar bank secara real-time satu per satu</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SLIK</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Sistem Layanan Informasi Keuangan</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Sistem OJK untuk cek riwayat kredit nasabah (pengganti BI Checking)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SKBDN</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Surat Kredit Berdokumen Dalam Negeri</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Versi L/C untuk transaksi perdagangan domestik</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STR</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Suspicious Transaction Report</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Laporan Transaksi Keuangan Mencurigakan yang dikirim ke PPATK</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Trade Finance</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Layanan perbankan untuk mendukung transaksi perdagangan internasional</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UMKM</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Usaha Mikro Kecil Menengah</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Segmen usaha utama yang dilayani BRI</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Virtual Account</w:t>
            </w:r>
          </w:p>
        </w:tc>
        <w:tc>
          <w:tcPr>
            <w:tcW w:type="dxa" w:w="2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w:t>
            </w:r>
          </w:p>
        </w:tc>
        <w:tc>
          <w:tcPr>
            <w:tcW w:type="dxa" w:w="50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Nomor rekening unik untuk memudahkan identifikasi pembayaran</w:t>
            </w:r>
          </w:p>
        </w:tc>
      </w:tr>
      <w:tr>
        <w:tc>
          <w:tcPr>
            <w:tcW w:type="dxa" w:w="18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Wanprestasi</w:t>
            </w:r>
          </w:p>
        </w:tc>
        <w:tc>
          <w:tcPr>
            <w:tcW w:type="dxa" w:w="24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Default</w:t>
            </w:r>
          </w:p>
        </w:tc>
        <w:tc>
          <w:tcPr>
            <w:tcW w:type="dxa" w:w="50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Kegagalan debitur memenuhi kewajiban sesuai perjanjian kredit</w:t>
            </w:r>
          </w:p>
        </w:tc>
      </w:tr>
    </w:tbl>
    <w:p>
      <w:pPr>
        <w:spacing w:after="60" w:before="60"/>
      </w:pPr>
      <w:r>
        <w:t xml:space="preserve"/>
      </w:r>
    </w:p>
    <w:p>
      <w:r>
        <w:br w:type="page"/>
      </w:r>
    </w:p>
    <w:p>
      <w:pPr>
        <w:pStyle w:val="Heading1"/>
        <w:pBdr>
          <w:bottom w:val="single" w:color="1565C0" w:sz="8" w:space="4"/>
        </w:pBdr>
        <w:spacing w:after="200" w:before="480"/>
      </w:pPr>
      <w:r>
        <w:rPr>
          <w:rFonts w:ascii="Arial" w:cs="Arial" w:eastAsia="Arial" w:hAnsi="Arial"/>
          <w:b/>
          <w:bCs/>
          <w:color w:val="1A3A6B"/>
          <w:sz w:val="36"/>
          <w:szCs w:val="36"/>
        </w:rPr>
        <w:t xml:space="preserve">Penutup – Relevansi untuk BFLP IT</w:t>
      </w:r>
    </w:p>
    <w:p>
      <w:pPr>
        <w:spacing w:after="60" w:before="60"/>
      </w:pPr>
      <w:r>
        <w:t xml:space="preserve"/>
      </w:r>
    </w:p>
    <w:p>
      <w:pPr>
        <w:spacing w:after="80" w:before="80"/>
        <w:jc w:val="both"/>
      </w:pPr>
      <w:r>
        <w:rPr>
          <w:rFonts w:ascii="Arial" w:cs="Arial" w:eastAsia="Arial" w:hAnsi="Arial"/>
          <w:color w:val="2C2C2C"/>
          <w:sz w:val="22"/>
          <w:szCs w:val="22"/>
        </w:rPr>
        <w:t xml:space="preserve">Dokumen ini menyajikan fondasi pengetahuan general banking yang perlu dipahami setiap karyawan baru BRI, terutama yang masuk melalui jalur BFLP IT. Sebagai IT developer di bank, kamu bukan hanya menulis kode – kamu membangun sistem yang memproses miliaran transaksi keuangan masyarakat Indonesia setiap harinya.</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8F5E9" w:val="clear"/>
            <w:tcMar>
              <w:top w:type="dxa" w:w="160"/>
              <w:left w:type="dxa" w:w="220"/>
              <w:bottom w:type="dxa" w:w="160"/>
              <w:right w:type="dxa" w:w="220"/>
            </w:tcMar>
          </w:tcPr>
          <w:p>
            <w:pPr>
              <w:spacing w:after="60" w:before="0"/>
            </w:pPr>
            <w:r>
              <w:rPr>
                <w:rFonts w:ascii="Arial" w:cs="Arial" w:eastAsia="Arial" w:hAnsi="Arial"/>
                <w:b/>
                <w:bCs/>
                <w:color w:val="1B5E20"/>
                <w:sz w:val="22"/>
                <w:szCs w:val="22"/>
              </w:rPr>
              <w:t xml:space="preserve">Apa yang Perlu Diprioritaskan Sebelum Onboarding:</w:t>
            </w:r>
          </w:p>
          <w:p>
            <w:pPr>
              <w:spacing w:after="0" w:before="0"/>
              <w:jc w:val="both"/>
            </w:pPr>
            <w:r>
              <w:rPr>
                <w:rFonts w:ascii="Arial" w:cs="Arial" w:eastAsia="Arial" w:hAnsi="Arial"/>
                <w:color w:val="0D3B17"/>
                <w:sz w:val="21"/>
                <w:szCs w:val="21"/>
              </w:rPr>
              <w:t xml:space="preserve">Pahami konsep DPK, kredit, NPL, dan kolektibilitas karena ini adalah core business BRI yang sistemnya akan kamu kerjakan. Pelajari QRIS, BI-FAST, dan arsitektur digital banking karena ini adalah area pengembangan aktif. Kenali terminologi regulasi OJK dan BI agar saat diskusi dengan tim bisnis dan compliance kamu bisa mengikuti konteksnya.</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Area Bisnis BRI</w:t>
            </w:r>
          </w:p>
        </w:tc>
        <w:tc>
          <w:tcPr>
            <w:tcW w:type="dxa" w:w="3000"/>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Sistem IT yang Relevan</w:t>
            </w:r>
          </w:p>
        </w:tc>
        <w:tc>
          <w:tcPr>
            <w:tcW w:type="dxa" w:w="3426"/>
            <w:tcBorders>
              <w:top w:val="single" w:color="CCCCCC" w:sz="4"/>
              <w:left w:val="single" w:color="CCCCCC" w:sz="4"/>
              <w:bottom w:val="single" w:color="CCCCCC" w:sz="4"/>
              <w:right w:val="single" w:color="CCCCCC" w:sz="4"/>
            </w:tcBorders>
            <w:shd w:fill="1A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Stack yang Mungkin Digunakan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Core Banking</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Transaction processing, account management</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Java, Go, Oracle DB, PostgreSQL</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Digital Banking (BRImo)</w:t>
            </w:r>
          </w:p>
        </w:tc>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Mobile app, API gateway, microservices</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Kotlin, React Native, Go, Next.js</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Payment System</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QRIS, BI-FAST integration, virtual account</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Go, REST API, Kafka</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Risk Management</w:t>
            </w:r>
          </w:p>
        </w:tc>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Credit scoring, fraud detection, AML system</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Go, Python, PostgreSQL, ML</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Reporting &amp; Analytics</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Dashboard kinerja, laporan OJK, BI</w:t>
            </w:r>
          </w:p>
        </w:tc>
        <w:tc>
          <w:tcPr>
            <w:tcW w:type="dxa" w:w="3426"/>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r>
              <w:rPr>
                <w:rFonts w:ascii="Arial" w:cs="Arial" w:eastAsia="Arial" w:hAnsi="Arial"/>
                <w:color w:val="333333"/>
                <w:sz w:val="20"/>
                <w:szCs w:val="20"/>
              </w:rPr>
              <w:t xml:space="preserve">Next.js, Go, PostgreSQL, data pipeline</w:t>
            </w:r>
          </w:p>
        </w:tc>
      </w:tr>
      <w:tr>
        <w:tc>
          <w:tcPr>
            <w:tcW w:type="dxa" w:w="26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BRILink Agent System</w:t>
            </w:r>
          </w:p>
        </w:tc>
        <w:tc>
          <w:tcPr>
            <w:tcW w:type="dxa" w:w="3000"/>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Agent management, mobile POS</w:t>
            </w:r>
          </w:p>
        </w:tc>
        <w:tc>
          <w:tcPr>
            <w:tcW w:type="dxa" w:w="3426"/>
            <w:tcBorders>
              <w:top w:val="single" w:color="CCCCCC" w:sz="4"/>
              <w:left w:val="single" w:color="CCCCCC" w:sz="4"/>
              <w:bottom w:val="single" w:color="CCCCCC" w:sz="4"/>
              <w:right w:val="single" w:color="CCCCCC" w:sz="4"/>
            </w:tcBorders>
            <w:shd w:fill="EEF4FB" w:val="clear"/>
            <w:tcMar>
              <w:top w:type="dxa" w:w="80"/>
              <w:left w:type="dxa" w:w="140"/>
              <w:bottom w:type="dxa" w:w="80"/>
              <w:right w:type="dxa" w:w="140"/>
            </w:tcMar>
          </w:tcPr>
          <w:p>
            <w:r>
              <w:rPr>
                <w:rFonts w:ascii="Arial" w:cs="Arial" w:eastAsia="Arial" w:hAnsi="Arial"/>
                <w:color w:val="333333"/>
                <w:sz w:val="20"/>
                <w:szCs w:val="20"/>
              </w:rPr>
              <w:t xml:space="preserve">Kotlin Android, React Native, Go</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3F0FC" w:val="clear"/>
            <w:tcMar>
              <w:top w:type="dxa" w:w="160"/>
              <w:left w:type="dxa" w:w="220"/>
              <w:bottom w:type="dxa" w:w="160"/>
              <w:right w:type="dxa" w:w="220"/>
            </w:tcMar>
          </w:tcPr>
          <w:p>
            <w:pPr>
              <w:spacing w:after="60" w:before="0"/>
            </w:pPr>
            <w:r>
              <w:rPr>
                <w:rFonts w:ascii="Arial" w:cs="Arial" w:eastAsia="Arial" w:hAnsi="Arial"/>
                <w:b/>
                <w:bCs/>
                <w:color w:val="1A3A6B"/>
                <w:sz w:val="22"/>
                <w:szCs w:val="22"/>
              </w:rPr>
              <w:t xml:space="preserve">Pesan Akhir:</w:t>
            </w:r>
          </w:p>
          <w:p>
            <w:pPr>
              <w:spacing w:after="0" w:before="0"/>
              <w:jc w:val="both"/>
            </w:pPr>
            <w:r>
              <w:rPr>
                <w:rFonts w:ascii="Arial" w:cs="Arial" w:eastAsia="Arial" w:hAnsi="Arial"/>
                <w:color w:val="1A3060"/>
                <w:sz w:val="21"/>
                <w:szCs w:val="21"/>
              </w:rPr>
              <w:t xml:space="preserve">Dunia banking dan teknologi bertemu di BRI. Kamu adalah jembatan antara keduanya. Semakin kamu memahami bisnis bankingnya, semakin bermakna dan tepat sasaran sistem yang kamu bangun. Selamat bergabung di BFLP IT Bank BRI 2026!</w:t>
            </w:r>
          </w:p>
        </w:tc>
      </w:tr>
    </w:tbl>
    <w:p>
      <w:pPr>
        <w:spacing w:after="60" w:before="60"/>
      </w:pPr>
      <w:r>
        <w:t xml:space="preserve"/>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spacing w:after="0" w:before="120"/>
      <w:jc w:val="center"/>
    </w:pPr>
    <w:r>
      <w:rPr>
        <w:rFonts w:ascii="Arial" w:cs="Arial" w:eastAsia="Arial" w:hAnsi="Arial"/>
        <w:color w:val="888888"/>
        <w:sz w:val="18"/>
        <w:szCs w:val="18"/>
      </w:rPr>
      <w:t xml:space="preserve">Halaman </w:t>
    </w:r>
    <w:fldSimple w:instr="PAGE"/>
    <w:r>
      <w:rPr>
        <w:rFonts w:ascii="Arial" w:cs="Arial" w:eastAsia="Arial" w:hAnsi="Arial"/>
        <w:color w:val="888888"/>
        <w:sz w:val="18"/>
        <w:szCs w:val="18"/>
      </w:rPr>
      <w:t xml:space="preserve">  │  Dokumen Pribadi – BFLP IT BRI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spacing w:after="120" w:before="0"/>
    </w:pPr>
    <w:r>
      <w:rPr>
        <w:rFonts w:ascii="Arial" w:cs="Arial" w:eastAsia="Arial" w:hAnsi="Arial"/>
        <w:color w:val="888888"/>
        <w:sz w:val="18"/>
        <w:szCs w:val="18"/>
      </w:rPr>
      <w:t xml:space="preserve">Dokumentasi General Banking BRI – Panduan untuk BFLP IT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1A3A6B"/>
      <w:sz w:val="36"/>
      <w:szCs w:val="36"/>
    </w:rPr>
  </w:style>
  <w:style w:type="paragraph" w:styleId="Heading2">
    <w:name w:val="Heading 2"/>
    <w:basedOn w:val="Normal"/>
    <w:next w:val="Normal"/>
    <w:qFormat/>
    <w:pPr>
      <w:spacing w:after="140" w:before="320"/>
      <w:outlineLvl w:val="1"/>
    </w:pPr>
    <w:rPr>
      <w:rFonts w:ascii="Arial" w:cs="Arial" w:eastAsia="Arial" w:hAnsi="Arial"/>
      <w:b/>
      <w:bCs/>
      <w:color w:val="1565C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A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2026-04-03T02:45:10.741Z</dcterms:created>
  <dcterms:modified xsi:type="dcterms:W3CDTF">2026-04-03T02:45:10.742Z</dcterms:modified>
</cp:coreProperties>
</file>

<file path=docProps/custom.xml><?xml version="1.0" encoding="utf-8"?>
<Properties xmlns="http://schemas.openxmlformats.org/officeDocument/2006/custom-properties" xmlns:vt="http://schemas.openxmlformats.org/officeDocument/2006/docPropsVTypes"/>
</file>