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NovaCart Delivery and Logistics Policy</w:t>
      </w:r>
    </w:p>
    <w:p>
      <w:r>
        <w:t>Document ID: DEL-POL-04 | Version: 4.1 | Effective: 2026-07-20</w:t>
      </w:r>
    </w:p>
    <w:p>
      <w:pPr>
        <w:pStyle w:val="Heading2"/>
      </w:pPr>
      <w:r>
        <w:t>1. Standard Delivery Windows</w:t>
      </w:r>
    </w:p>
    <w:p>
      <w:pPr>
        <w:pStyle w:val="Heading2"/>
      </w:pPr>
      <w:r>
        <w:t>1.1 Standard shipping: 3-5 business days.</w:t>
      </w:r>
    </w:p>
    <w:p>
      <w:pPr>
        <w:pStyle w:val="Heading2"/>
      </w:pPr>
      <w:r>
        <w:t>1.2 Express shipping: 1-2 business days.</w:t>
      </w:r>
    </w:p>
    <w:p>
      <w:pPr>
        <w:pStyle w:val="Heading2"/>
      </w:pPr>
      <w:r>
        <w:t>5. Delayed Shipments</w:t>
      </w:r>
    </w:p>
    <w:p>
      <w:r>
        <w:t>5.1 Shipments are considered delayed after exceeding the delivery window by more than 2 business days.</w:t>
      </w:r>
    </w:p>
    <w:p>
      <w:r>
        <w:t>5.2 Delays within 5 total business days of the original estimate fall within logistics tolerance and require monitoring only, not escalation.</w:t>
      </w:r>
    </w:p>
    <w:p>
      <w:r>
        <w:t>5.3 Delays exceeding 5 business days require a shipping credit and Logistics Support follow-up.</w:t>
      </w:r>
    </w:p>
    <w:p>
      <w:pPr>
        <w:pStyle w:val="Heading2"/>
      </w:pPr>
      <w:r>
        <w:t>6. Lost Packages</w:t>
      </w:r>
    </w:p>
    <w:p>
      <w:r>
        <w:t>6.1 A package is considered lost if tracking shows no movement for 7+ days after last scan.</w:t>
      </w:r>
    </w:p>
    <w:p>
      <w:r>
        <w:t>6.2 Lost packages are eligible for full replacement or refund.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