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NovaCart Escalation Procedure</w:t>
      </w:r>
    </w:p>
    <w:p>
      <w:r>
        <w:t>Document ID: ESC-POL-13 | Version: 2.3 | Effective: 2026-05-11</w:t>
      </w:r>
    </w:p>
    <w:p>
      <w:pPr>
        <w:pStyle w:val="Heading2"/>
      </w:pPr>
      <w:r>
        <w:t>1. Mandatory Escalation Triggers</w:t>
      </w:r>
    </w:p>
    <w:p>
      <w:r>
        <w:t>1.1 Any Safety category complaint (fire, shock, injury) — escalate immediately to Critical Management Escalation.</w:t>
      </w:r>
    </w:p>
    <w:p>
      <w:r>
        <w:t>1.2 Any confirmed data breach or unauthorized account access — escalate to Compliance Review.</w:t>
      </w:r>
    </w:p>
    <w:p>
      <w:r>
        <w:t>1.3 Repeat unresolved complaints (same customer, same issue, prior status = unresolved) — escalate to Department Manager.</w:t>
      </w:r>
    </w:p>
    <w:p>
      <w:r>
        <w:t>1.4 Complaints containing legal-threat language ("lawsuit", "regulator", "lawyer") — escalate to Compliance Review.</w:t>
      </w:r>
    </w:p>
    <w:p>
      <w:pPr>
        <w:pStyle w:val="Heading2"/>
      </w:pPr>
      <w:r>
        <w:t>2. Escalation Levels</w:t>
      </w:r>
    </w:p>
    <w:p>
      <w:r>
        <w:t>No Escalation &lt; Supervisor Review &lt; Department Manager &lt; Specialist Team &lt; Compliance Review &lt; Critical Management Escalation.</w:t>
      </w:r>
    </w:p>
    <w:p>
      <w:pPr>
        <w:pStyle w:val="Heading2"/>
      </w:pPr>
      <w:r>
        <w:t>3. Urgency vs. Sentiment</w:t>
      </w:r>
    </w:p>
    <w:p>
      <w:r>
        <w:t>3.1 Urgency must be determined by objective risk factors, not by the emotional tone of the complaint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