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E1" w:rsidRPr="001461E1" w:rsidRDefault="001461E1" w:rsidP="001461E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FFFFF" w:themeFill="background1"/>
        </w:rPr>
        <w:t xml:space="preserve">1.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FFFFF" w:themeFill="background1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     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biasa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disebut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yakni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laporan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tertulis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diterbitkan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memaparkan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hasil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pengkajian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telah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dilakukan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oleh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seseorang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sebuah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tim</w:t>
      </w:r>
      <w:proofErr w:type="spellEnd"/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memenuhi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kaidah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etika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keilmuan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dikukuhkan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ditaati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oleh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masyarakat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keilmuan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.</w:t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br/>
        <w:t xml:space="preserve">      Ada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berbagai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jenis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lain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laporan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makalah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seminar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simposium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artikel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jurnal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pada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dasarnya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kesemuanya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produk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kegiatan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ilmuwan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. Data,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simpulan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informasi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lain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terkandung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tersebut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dijadikan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acuan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bagi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ilmuwan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lain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melaksanakan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pengkajian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selanjutnya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.</w:t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br/>
        <w:t xml:space="preserve">      Di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perguruan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tinggi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khususnya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jenjang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S1,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mahasiswa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dilatih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untuk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menghasilkan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seperti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makalah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laporan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praktikum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skripsi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(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tugas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akhir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).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Skripsi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umumnya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laporan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berskala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kecil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tetapi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dilakukan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cukup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mendalam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Sementara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makalah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ditugaskan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kepada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mahasiswa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lebih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simpulan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pemikiran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mahasiswa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berdasarkan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penelaahan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terhadap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karya-karya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oleh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para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pakar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bidang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persoalan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dipelajari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Penyusunan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laporan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praktikum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ditugaskan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kepada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mahasiswa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sebagai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wahana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untuk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mengembangkan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kemampuan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menyusun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laporan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.</w:t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br/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Tujuan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lain:</w:t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br/>
      </w:r>
    </w:p>
    <w:p w:rsidR="001461E1" w:rsidRPr="001461E1" w:rsidRDefault="001461E1" w:rsidP="001461E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Sebagai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wahana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melatih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mengungkapkan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pemikiran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hasil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penelitiannya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sistematis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metodologis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Menumbuhkan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etos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di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kalangan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mahasiswa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sehingga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hanya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menjadi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konsumen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pengetahuan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tetapi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juga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mampu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menjadi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penghasil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(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produsen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)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pemikiran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bidang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pengetahuan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terutama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setelah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penyelesaian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studinya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telah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diharapkan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menjadi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wahana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transformasi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pengetahuan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sekolah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masyarakat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orang-orang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berminat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membacanya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Membuktikan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potensi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wawasan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dimiliki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mahasiswa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menghadapi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menyelesaikan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masalah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setelah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bersangkutan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memperoleh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pengetahuan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pendidikan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jurusannya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Melatih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keterampilan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dasar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untuk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melakukan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Manfaat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penyusunan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bagi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penulis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berikut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FFFFF" w:themeFill="background1"/>
        </w:rPr>
        <w:t>: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</w:p>
    <w:p w:rsidR="001461E1" w:rsidRPr="001461E1" w:rsidRDefault="001461E1" w:rsidP="001461E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Melatih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untuk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mengembangkan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keterampilan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membaca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efektif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;</w:t>
      </w:r>
    </w:p>
    <w:p w:rsidR="001461E1" w:rsidRPr="001461E1" w:rsidRDefault="001461E1" w:rsidP="001461E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Melatih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untuk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menggabungkan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hasil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bacaan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berbagai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sumber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;</w:t>
      </w:r>
    </w:p>
    <w:p w:rsidR="001461E1" w:rsidRPr="001461E1" w:rsidRDefault="001461E1" w:rsidP="001461E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Mengenalkan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kegiatan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kepustakaan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;</w:t>
      </w:r>
    </w:p>
    <w:p w:rsidR="001461E1" w:rsidRPr="001461E1" w:rsidRDefault="001461E1" w:rsidP="001461E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Meningkatkan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pengorganisasian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/data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secara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jelas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sistematis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;</w:t>
      </w:r>
    </w:p>
    <w:p w:rsidR="001461E1" w:rsidRPr="001461E1" w:rsidRDefault="001461E1" w:rsidP="001461E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Memperoleh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kepuasan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intelektual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;</w:t>
      </w:r>
    </w:p>
    <w:p w:rsidR="001461E1" w:rsidRPr="001461E1" w:rsidRDefault="001461E1" w:rsidP="001461E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Memperluas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cakrawala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pengetahuan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;</w:t>
      </w:r>
    </w:p>
    <w:p w:rsidR="001461E1" w:rsidRPr="001461E1" w:rsidRDefault="001461E1" w:rsidP="001461E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Sebagai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bahan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acuan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/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pendahuluan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untuk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selanjutnya</w:t>
      </w:r>
      <w:proofErr w:type="spellEnd"/>
    </w:p>
    <w:p w:rsidR="001461E1" w:rsidRPr="001461E1" w:rsidRDefault="001461E1" w:rsidP="001461E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 xml:space="preserve">2.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 xml:space="preserve"> Non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     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non-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menyajikan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pribadi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tentang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pengetahuan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pengalaman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kehidupan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sehari-hari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bersifat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subyektif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didukung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umum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biasanya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gaya</w:t>
      </w:r>
      <w:proofErr w:type="spellEnd"/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popular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biasa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(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terlalu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formal).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Ciri-ciri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non-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yaitu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: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lastRenderedPageBreak/>
        <w:t>Ditulis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berdasarkan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pribadi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,</w:t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disimpulkan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subyektif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,</w:t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Gaya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konotatif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populer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,</w:t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memuat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hipotesis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,</w:t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Penyajian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dibarengi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sejarah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,</w:t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Bersifat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imajinatif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,</w:t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Situasi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didramatisir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,</w:t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Bersifat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persuasif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Tanpa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dukungan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bukti</w:t>
      </w:r>
      <w:proofErr w:type="spellEnd"/>
    </w:p>
    <w:p w:rsidR="001461E1" w:rsidRPr="001461E1" w:rsidRDefault="001461E1" w:rsidP="001461E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Jenis-jenis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termasuk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non-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yaitu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: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</w:p>
    <w:p w:rsidR="001461E1" w:rsidRPr="001461E1" w:rsidRDefault="001461E1" w:rsidP="001461E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Dongeng</w:t>
      </w:r>
      <w:proofErr w:type="spellEnd"/>
    </w:p>
    <w:p w:rsidR="001461E1" w:rsidRPr="001461E1" w:rsidRDefault="001461E1" w:rsidP="001461E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Cerpen</w:t>
      </w:r>
      <w:proofErr w:type="spellEnd"/>
    </w:p>
    <w:p w:rsidR="001461E1" w:rsidRPr="001461E1" w:rsidRDefault="001461E1" w:rsidP="001461E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r w:rsidRPr="001461E1">
        <w:rPr>
          <w:rFonts w:ascii="Tahoma" w:eastAsia="Times New Roman" w:hAnsi="Tahoma" w:cs="Tahoma"/>
          <w:color w:val="403B34"/>
          <w:sz w:val="20"/>
          <w:szCs w:val="20"/>
        </w:rPr>
        <w:t>Novel</w:t>
      </w:r>
    </w:p>
    <w:p w:rsidR="001461E1" w:rsidRPr="001461E1" w:rsidRDefault="001461E1" w:rsidP="001461E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r w:rsidRPr="001461E1">
        <w:rPr>
          <w:rFonts w:ascii="Tahoma" w:eastAsia="Times New Roman" w:hAnsi="Tahoma" w:cs="Tahoma"/>
          <w:color w:val="403B34"/>
          <w:sz w:val="20"/>
          <w:szCs w:val="20"/>
        </w:rPr>
        <w:t>Drama</w:t>
      </w:r>
    </w:p>
    <w:p w:rsidR="001461E1" w:rsidRPr="001461E1" w:rsidRDefault="001461E1" w:rsidP="001461E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r w:rsidRPr="001461E1">
        <w:rPr>
          <w:rFonts w:ascii="Tahoma" w:eastAsia="Times New Roman" w:hAnsi="Tahoma" w:cs="Tahoma"/>
          <w:color w:val="403B34"/>
          <w:sz w:val="20"/>
          <w:szCs w:val="20"/>
        </w:rPr>
        <w:t>Roman</w:t>
      </w:r>
    </w:p>
    <w:p w:rsidR="001461E1" w:rsidRPr="001461E1" w:rsidRDefault="001461E1" w:rsidP="001461E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>3. 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 xml:space="preserve"> Semi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 xml:space="preserve"> (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>Populer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shd w:val="clear" w:color="auto" w:fill="F3E9C8"/>
        </w:rPr>
        <w:t>)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     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semi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sebuah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menyajikan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fiksi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satu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konkret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formal, kata-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katanya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teknis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didukung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umum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dapat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dibuktikan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kebenarannya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ini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juga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sebuah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menyajikan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fiksi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satu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penulisannya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semiformal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tetapi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sepenuhnya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mengikuti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metode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sintesis-analitis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karena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sering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dimasukkan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ini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semi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biasanya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komik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anekdot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dongeng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hikayat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novel, roman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cerpen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.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proofErr w:type="spellStart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>Perbedaan</w:t>
      </w:r>
      <w:proofErr w:type="spellEnd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4"/>
          <w:szCs w:val="24"/>
          <w:u w:val="single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     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Istilah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istilah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sudah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sangat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lazim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diketahui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orang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dunia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tulis-menulis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Berkaitan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istilah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ini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juga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sebagian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ahli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menyebutkan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fiksi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nonfiksi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Terlepas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bervariasinya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penamaan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tersebut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hal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sangat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penting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untuk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diketahui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baik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maupun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/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fiksi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nonfiksi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apa</w:t>
      </w:r>
      <w:proofErr w:type="spellEnd"/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pun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namanya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kedua-keduanya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memiliki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perbedaan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signifikan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Perbedaan-perbedaan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dimaksud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dapat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dicermati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beberapa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aspek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.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</w:p>
    <w:p w:rsidR="001461E1" w:rsidRPr="001461E1" w:rsidRDefault="001461E1" w:rsidP="001461E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harus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pembahasan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suatu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hasil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(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faktual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objektif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).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Faktual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objektif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adanya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kesesuaian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objek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diteliti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Kesesuaian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ini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harus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dibuktikan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pengamatan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observasi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bersifat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metodis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sistematis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Artinya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pembahasan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masalah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metode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cara-cara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tertentu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langkah-langkah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teratur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terkontrol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melalui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proses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pengidentifikasian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masalah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penentuan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strategi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pembahasannya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ragam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kata lain, </w:t>
      </w: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ia</w:t>
      </w:r>
      <w:proofErr w:type="spellEnd"/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kode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etik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Perbedaan-perbedaan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inilah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dijadikan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dasar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para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ahli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melakukan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pengklasifikasian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1461E1" w:rsidRPr="001461E1" w:rsidRDefault="001461E1" w:rsidP="001461E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     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Selain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disebutkan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di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terdapat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juga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berbentuk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/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populer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Sebagian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ahli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membedakan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tegas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ini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Finoza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(2005:193)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menyebutkan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bahwa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lastRenderedPageBreak/>
        <w:t>karakteristik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membedakan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pada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pemakaian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struktur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kodifikasi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Jika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khusus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di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bidang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tertentu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terlalu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teknis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tersebut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sedapat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mungkin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dihindari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kata lain,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lebih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mengutamakan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pemakaian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istilah-istilah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umum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daripada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istilah-istilah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khusus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Jika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diperhatikan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segi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sistematika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menaati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kaidah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konvensi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kodifikasi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secara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ketat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sistematis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sedangkan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agak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longgar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meskipun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tetap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sistematis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Dari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segi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memiliki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pendahuluan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(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preliminaris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)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selalu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terdapat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pada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.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     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Berdasarkan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karakteristik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disebutkan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di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tergolong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laporan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makalah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skripsi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tesis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disertasi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;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tergolong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lain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artikel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feature,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kritik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esai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resensi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;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tergolong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anekdot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dongeng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hikayat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cerpen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cerber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novel, roman,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puisi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naskah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drama.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     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sangat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bervariasi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topik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cara</w:t>
      </w:r>
      <w:proofErr w:type="spellEnd"/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penyajiannya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tetapi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isinya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didukung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umum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ditulis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berdasarkan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pribadi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umumnya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bersifat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subyektif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bisa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konkret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abstrak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gaya</w:t>
      </w:r>
      <w:proofErr w:type="spellEnd"/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nonformal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populer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walaupun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kadang-kadang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juga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formal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teknis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bersifat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antara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lain :</w:t>
      </w:r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</w:p>
    <w:p w:rsidR="001461E1" w:rsidRPr="001461E1" w:rsidRDefault="001461E1" w:rsidP="001461E1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Emotif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: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kemewahan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cinta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lebih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menonjol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tidak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sistematis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lebih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mencari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keuntungan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sedikit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informasi</w:t>
      </w:r>
      <w:proofErr w:type="spellEnd"/>
    </w:p>
    <w:p w:rsidR="001461E1" w:rsidRPr="001461E1" w:rsidRDefault="001461E1" w:rsidP="001461E1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Persuasif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:</w:t>
      </w:r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penilaian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fakta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tanpa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bukti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Bujukan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untuk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meyakinkan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pembaca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mempengaruhi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sikap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cara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berfikir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pembaca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cukup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informative</w:t>
      </w:r>
    </w:p>
    <w:p w:rsidR="001461E1" w:rsidRPr="001461E1" w:rsidRDefault="001461E1" w:rsidP="001461E1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Deskriptif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: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merupakan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pendapat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pribadi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sebagian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imajinatif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subjektif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dan</w:t>
      </w:r>
      <w:proofErr w:type="spellEnd"/>
    </w:p>
    <w:p w:rsidR="001461E1" w:rsidRPr="001461E1" w:rsidRDefault="001461E1" w:rsidP="001461E1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403B34"/>
          <w:sz w:val="20"/>
          <w:szCs w:val="20"/>
        </w:rPr>
      </w:pP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Jika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kritik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adakalanya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tanpa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dukungan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</w:rPr>
        <w:t>bukti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</w:rPr>
        <w:t>.</w:t>
      </w:r>
    </w:p>
    <w:p w:rsidR="00C4622A" w:rsidRDefault="001461E1" w:rsidP="001461E1">
      <w:pPr>
        <w:shd w:val="clear" w:color="auto" w:fill="FFFFFF" w:themeFill="background1"/>
      </w:pP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br/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>Perbedaan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 xml:space="preserve"> Semi </w:t>
      </w:r>
      <w:proofErr w:type="spellStart"/>
      <w:r w:rsidRPr="001461E1">
        <w:rPr>
          <w:rFonts w:ascii="Tahoma" w:eastAsia="Times New Roman" w:hAnsi="Tahoma" w:cs="Tahoma"/>
          <w:color w:val="403B34"/>
          <w:sz w:val="27"/>
          <w:szCs w:val="27"/>
          <w:u w:val="single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br/>
        <w:t>      “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Kecermatan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mencerminkan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ketelitian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berpikir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”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adalah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slogan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harus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dipahami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diterapkan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oleh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seorang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Melalui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kecermatan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gagasan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ide-ide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kita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akan</w:t>
      </w:r>
      <w:proofErr w:type="spellEnd"/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tersampaikan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Oleh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karena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penguasaan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amat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diperlukan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ketika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Anda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.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ragam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proofErr w:type="gram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proofErr w:type="gram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Indonesia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resmi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.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Ciri-ciri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ragam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resmi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yaitu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menerapkan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kesantunan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ejaan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(EYD/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Ejaan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Disempurnakan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),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kesantunan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diksi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kesantunan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kalimat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kesantunan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paragraph,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kata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ganti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pertama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“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”,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saya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aku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kami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kita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memakai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kata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baku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istilah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popular,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makna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denotasi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bukan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konotasi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menghindarkan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pemakaian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unsur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kedaerahan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mengikuti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konvensi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.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Terdapat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tiga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bagian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konvensi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penulisan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yaitu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bagian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awal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(preliminaries),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bagian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(main body),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bagian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akhir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(reference matter).</w:t>
      </w:r>
      <w:r w:rsidRPr="001461E1">
        <w:rPr>
          <w:rFonts w:ascii="Tahoma" w:eastAsia="Times New Roman" w:hAnsi="Tahoma" w:cs="Tahoma"/>
          <w:color w:val="403B34"/>
          <w:sz w:val="20"/>
          <w:szCs w:val="20"/>
        </w:rPr>
        <w:br/>
      </w:r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     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Berbeda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dengan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bahasa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dalam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semiilmiah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/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popular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nonilmiah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melonggarkan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aturan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seperti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kata-kata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bermakna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konotasi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figurative,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istilah-istilah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umum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atau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popular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dipahami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oleh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semua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kalangan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,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dan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menggunakan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kalimat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yang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kurang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efektif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seperti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pada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karya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 xml:space="preserve"> </w:t>
      </w:r>
      <w:proofErr w:type="spellStart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sastra</w:t>
      </w:r>
      <w:proofErr w:type="spellEnd"/>
      <w:r w:rsidRPr="001461E1">
        <w:rPr>
          <w:rFonts w:ascii="Tahoma" w:eastAsia="Times New Roman" w:hAnsi="Tahoma" w:cs="Tahoma"/>
          <w:color w:val="403B34"/>
          <w:sz w:val="20"/>
          <w:szCs w:val="20"/>
          <w:shd w:val="clear" w:color="auto" w:fill="F3E9C8"/>
        </w:rPr>
        <w:t>.</w:t>
      </w:r>
    </w:p>
    <w:sectPr w:rsidR="00C4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C45A2"/>
    <w:multiLevelType w:val="multilevel"/>
    <w:tmpl w:val="123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06750"/>
    <w:multiLevelType w:val="multilevel"/>
    <w:tmpl w:val="6B2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D64BD"/>
    <w:multiLevelType w:val="multilevel"/>
    <w:tmpl w:val="E4E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CF6559"/>
    <w:multiLevelType w:val="multilevel"/>
    <w:tmpl w:val="BCFA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8732DD"/>
    <w:multiLevelType w:val="multilevel"/>
    <w:tmpl w:val="F48A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D3687"/>
    <w:multiLevelType w:val="multilevel"/>
    <w:tmpl w:val="37F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0D"/>
    <w:rsid w:val="001461E1"/>
    <w:rsid w:val="003861F7"/>
    <w:rsid w:val="007C610D"/>
    <w:rsid w:val="009D3AB9"/>
    <w:rsid w:val="00C007A6"/>
    <w:rsid w:val="00C4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26685-E64A-466C-B8A2-34FC3D3B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3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2020-09-23T02:28:00Z</dcterms:created>
  <dcterms:modified xsi:type="dcterms:W3CDTF">2020-09-23T03:18:00Z</dcterms:modified>
</cp:coreProperties>
</file>