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26" w:rsidRDefault="00863B04">
      <w:pPr>
        <w:pStyle w:val="Title"/>
        <w:jc w:val="left"/>
        <w:rPr>
          <w:rFonts w:ascii="Palatino Linotype" w:hAnsi="Palatino Linotype"/>
          <w:noProof/>
          <w:sz w:val="24"/>
          <w:szCs w:val="36"/>
          <w:lang w:val="de-DE" w:eastAsia="en-GB"/>
        </w:rPr>
      </w:pPr>
      <w:r w:rsidRPr="00863B04">
        <w:rPr>
          <w:rFonts w:ascii="Palatino Linotype" w:hAnsi="Palatino Linotype"/>
          <w:noProof/>
          <w:sz w:val="24"/>
          <w:szCs w:val="36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margin-left:318.3pt;margin-top:-12pt;width:201.75pt;height:44pt;z-index:251658240" stroked="f">
            <v:textbox style="mso-next-textbox:#_x0000_s1113">
              <w:txbxContent>
                <w:p w:rsidR="006E7226" w:rsidRDefault="006E7226" w:rsidP="006E7226">
                  <w:pPr>
                    <w:rPr>
                      <w:rFonts w:ascii="Palatino Linotype" w:hAnsi="Palatino Linotype"/>
                      <w:b/>
                      <w:noProof/>
                      <w:sz w:val="6"/>
                      <w:szCs w:val="28"/>
                      <w:lang w:val="en-GB" w:eastAsia="en-GB"/>
                    </w:rPr>
                  </w:pPr>
                </w:p>
                <w:p w:rsidR="006E7226" w:rsidRPr="0081251F" w:rsidRDefault="0081251F" w:rsidP="006E7226">
                  <w:pPr>
                    <w:rPr>
                      <w:rFonts w:ascii="Palatino Linotype" w:hAnsi="Palatino Linotype"/>
                      <w:noProof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Palatino Linotype" w:hAnsi="Palatino Linotype"/>
                      <w:noProof/>
                      <w:sz w:val="22"/>
                      <w:szCs w:val="22"/>
                      <w:lang w:val="en-GB" w:eastAsia="en-GB"/>
                    </w:rPr>
                    <w:t xml:space="preserve">Mobile:  </w:t>
                  </w:r>
                  <w:r>
                    <w:rPr>
                      <w:rFonts w:ascii="Palatino Linotype" w:hAnsi="Palatino Linotype"/>
                      <w:noProof/>
                      <w:sz w:val="22"/>
                      <w:szCs w:val="22"/>
                      <w:lang w:eastAsia="en-GB"/>
                    </w:rPr>
                    <w:t>9619520183/ 9428826125</w:t>
                  </w:r>
                </w:p>
                <w:p w:rsidR="001A6633" w:rsidRPr="00DD348C" w:rsidRDefault="001A6633" w:rsidP="001A6633">
                  <w:pPr>
                    <w:rPr>
                      <w:rFonts w:ascii="Palatino Linotype" w:hAnsi="Palatino Linotype"/>
                      <w:noProof/>
                      <w:sz w:val="22"/>
                      <w:szCs w:val="22"/>
                      <w:lang w:val="en-GB" w:eastAsia="en-GB"/>
                    </w:rPr>
                  </w:pPr>
                  <w:r w:rsidRPr="00DD348C">
                    <w:rPr>
                      <w:rFonts w:ascii="Palatino Linotype" w:hAnsi="Palatino Linotype"/>
                      <w:noProof/>
                      <w:sz w:val="22"/>
                      <w:szCs w:val="22"/>
                      <w:lang w:val="en-GB" w:eastAsia="en-GB"/>
                    </w:rPr>
                    <w:t xml:space="preserve">Email: </w:t>
                  </w:r>
                  <w:hyperlink r:id="rId7" w:history="1">
                    <w:r w:rsidR="0081251F" w:rsidRPr="0081251F">
                      <w:rPr>
                        <w:rStyle w:val="Hyperlink"/>
                        <w:rFonts w:ascii="Palatino Linotype" w:hAnsi="Palatino Linotype"/>
                        <w:noProof/>
                        <w:sz w:val="22"/>
                        <w:szCs w:val="22"/>
                        <w:u w:val="none"/>
                        <w:lang w:eastAsia="en-GB"/>
                      </w:rPr>
                      <w:t>hemangi_bhatt@yahoo.co.in</w:t>
                    </w:r>
                  </w:hyperlink>
                </w:p>
                <w:p w:rsidR="001A6633" w:rsidRPr="00DD348C" w:rsidRDefault="001A6633" w:rsidP="006E7226">
                  <w:pPr>
                    <w:rPr>
                      <w:rFonts w:ascii="Palatino Linotype" w:hAnsi="Palatino Linotype"/>
                      <w:noProof/>
                      <w:sz w:val="22"/>
                      <w:szCs w:val="22"/>
                      <w:lang w:val="en-GB" w:eastAsia="en-GB"/>
                    </w:rPr>
                  </w:pPr>
                </w:p>
                <w:p w:rsidR="006E7226" w:rsidRPr="0049532A" w:rsidRDefault="006E7226" w:rsidP="006E7226">
                  <w:pPr>
                    <w:pStyle w:val="Title"/>
                    <w:jc w:val="left"/>
                    <w:rPr>
                      <w:rFonts w:ascii="Garamond" w:hAnsi="Garamond"/>
                      <w:b/>
                      <w:sz w:val="24"/>
                    </w:rPr>
                  </w:pPr>
                  <w:r w:rsidRPr="0049532A">
                    <w:rPr>
                      <w:rFonts w:ascii="Garamond" w:hAnsi="Garamond"/>
                      <w:b/>
                      <w:sz w:val="24"/>
                    </w:rPr>
                    <w:t>Date of Birth:  19th September, 1984</w:t>
                  </w:r>
                </w:p>
                <w:p w:rsidR="006E7226" w:rsidRPr="00121C2F" w:rsidRDefault="006E7226" w:rsidP="006E7226">
                  <w:pPr>
                    <w:rPr>
                      <w:rFonts w:ascii="Palatino Linotype" w:hAnsi="Palatino Linotype"/>
                      <w:noProof/>
                      <w:sz w:val="20"/>
                      <w:szCs w:val="20"/>
                      <w:lang w:eastAsia="en-GB"/>
                    </w:rPr>
                  </w:pPr>
                </w:p>
              </w:txbxContent>
            </v:textbox>
          </v:shape>
        </w:pict>
      </w:r>
      <w:r>
        <w:rPr>
          <w:rFonts w:ascii="Palatino Linotype" w:hAnsi="Palatino Linotype"/>
          <w:noProof/>
          <w:sz w:val="24"/>
          <w:szCs w:val="36"/>
          <w:lang w:val="en-GB" w:eastAsia="en-GB"/>
        </w:rPr>
        <w:pict>
          <v:shape id="_x0000_s1070" type="#_x0000_t202" style="position:absolute;margin-left:-9pt;margin-top:-8.25pt;width:234pt;height:40.25pt;z-index:251657216" stroked="f">
            <v:textbox style="mso-next-textbox:#_x0000_s1070">
              <w:txbxContent>
                <w:p w:rsidR="00793E5C" w:rsidRPr="0081251F" w:rsidRDefault="0081251F">
                  <w:pPr>
                    <w:rPr>
                      <w:rFonts w:ascii="Palatino Linotype" w:hAnsi="Palatino Linotype"/>
                      <w:b/>
                      <w:noProof/>
                      <w:lang w:eastAsia="en-GB"/>
                    </w:rPr>
                  </w:pPr>
                  <w:r>
                    <w:rPr>
                      <w:rFonts w:ascii="Palatino Linotype" w:hAnsi="Palatino Linotype"/>
                      <w:b/>
                      <w:noProof/>
                      <w:lang w:eastAsia="en-GB"/>
                    </w:rPr>
                    <w:t>HEMANGI BHATT</w:t>
                  </w:r>
                </w:p>
                <w:p w:rsidR="00793E5C" w:rsidRDefault="00793E5C">
                  <w:pPr>
                    <w:rPr>
                      <w:rFonts w:ascii="Palatino Linotype" w:hAnsi="Palatino Linotype"/>
                      <w:b/>
                      <w:noProof/>
                      <w:sz w:val="6"/>
                      <w:szCs w:val="28"/>
                      <w:lang w:val="en-GB" w:eastAsia="en-GB"/>
                    </w:rPr>
                  </w:pPr>
                </w:p>
                <w:p w:rsidR="001A6633" w:rsidRPr="0049532A" w:rsidRDefault="0081251F" w:rsidP="001A6633">
                  <w:pPr>
                    <w:pStyle w:val="Title"/>
                    <w:jc w:val="left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>Date of Birth:  15th June, 1983</w:t>
                  </w:r>
                </w:p>
              </w:txbxContent>
            </v:textbox>
          </v:shape>
        </w:pict>
      </w:r>
    </w:p>
    <w:p w:rsidR="006E7226" w:rsidRDefault="006E7226">
      <w:pPr>
        <w:pStyle w:val="Title"/>
        <w:jc w:val="left"/>
        <w:rPr>
          <w:rFonts w:ascii="Palatino Linotype" w:hAnsi="Palatino Linotype"/>
          <w:noProof/>
          <w:sz w:val="24"/>
          <w:szCs w:val="36"/>
          <w:lang w:val="de-DE" w:eastAsia="en-GB"/>
        </w:rPr>
      </w:pPr>
    </w:p>
    <w:p w:rsidR="00C50C7A" w:rsidRDefault="00616AD8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  <w:r>
        <w:rPr>
          <w:rFonts w:ascii="Palatino Linotype" w:hAnsi="Palatino Linotype"/>
          <w:noProof/>
          <w:sz w:val="4"/>
          <w:szCs w:val="4"/>
          <w:lang w:val="de-DE" w:eastAsia="en-GB"/>
        </w:rPr>
        <w:t>\</w:t>
      </w: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Pr="00616AD8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tbl>
      <w:tblPr>
        <w:tblW w:w="10455" w:type="dxa"/>
        <w:tblInd w:w="108" w:type="dxa"/>
        <w:shd w:val="clear" w:color="auto" w:fill="F3F3F3"/>
        <w:tblLook w:val="003F"/>
      </w:tblPr>
      <w:tblGrid>
        <w:gridCol w:w="10455"/>
      </w:tblGrid>
      <w:tr w:rsidR="00CE5CE6" w:rsidRPr="002F5547" w:rsidTr="006271FD">
        <w:trPr>
          <w:cantSplit/>
          <w:trHeight w:val="330"/>
        </w:trPr>
        <w:tc>
          <w:tcPr>
            <w:tcW w:w="10455" w:type="dxa"/>
            <w:tcBorders>
              <w:bottom w:val="single" w:sz="4" w:space="0" w:color="FFFFFF"/>
            </w:tcBorders>
            <w:shd w:val="clear" w:color="auto" w:fill="E0E0E0"/>
          </w:tcPr>
          <w:tbl>
            <w:tblPr>
              <w:tblW w:w="0" w:type="auto"/>
              <w:tblBorders>
                <w:bottom w:val="single" w:sz="12" w:space="0" w:color="auto"/>
              </w:tblBorders>
              <w:shd w:val="clear" w:color="auto" w:fill="E0E0E0"/>
              <w:tblLook w:val="01E0"/>
            </w:tblPr>
            <w:tblGrid>
              <w:gridCol w:w="10239"/>
            </w:tblGrid>
            <w:tr w:rsidR="00CE5CE6" w:rsidRPr="0056285E" w:rsidTr="006271FD">
              <w:trPr>
                <w:trHeight w:val="322"/>
              </w:trPr>
              <w:tc>
                <w:tcPr>
                  <w:tcW w:w="10512" w:type="dxa"/>
                  <w:shd w:val="clear" w:color="auto" w:fill="E0E0E0"/>
                </w:tcPr>
                <w:p w:rsidR="00CE5CE6" w:rsidRPr="0056285E" w:rsidRDefault="00CE5CE6" w:rsidP="006271FD">
                  <w:pPr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  <w:t>BRIEF PROFILE</w:t>
                  </w:r>
                </w:p>
              </w:tc>
            </w:tr>
          </w:tbl>
          <w:p w:rsidR="00CE5CE6" w:rsidRPr="002F5547" w:rsidRDefault="00CE5CE6" w:rsidP="00CE5CE6">
            <w:pPr>
              <w:pStyle w:val="Heading2"/>
              <w:spacing w:before="40" w:after="20" w:line="240" w:lineRule="auto"/>
              <w:ind w:right="29"/>
              <w:rPr>
                <w:rFonts w:ascii="Palatino Linotype" w:hAnsi="Palatino Linotype"/>
                <w:b/>
                <w:bCs w:val="0"/>
                <w:i/>
                <w:sz w:val="20"/>
              </w:rPr>
            </w:pPr>
          </w:p>
        </w:tc>
      </w:tr>
      <w:tr w:rsidR="00B96D37" w:rsidRPr="002F5547" w:rsidTr="006271FD">
        <w:trPr>
          <w:cantSplit/>
          <w:trHeight w:val="330"/>
        </w:trPr>
        <w:tc>
          <w:tcPr>
            <w:tcW w:w="10455" w:type="dxa"/>
            <w:tcBorders>
              <w:bottom w:val="single" w:sz="4" w:space="0" w:color="FFFFFF"/>
            </w:tcBorders>
            <w:shd w:val="clear" w:color="auto" w:fill="E0E0E0"/>
          </w:tcPr>
          <w:p w:rsidR="0081251F" w:rsidRPr="004E4DE7" w:rsidRDefault="0081251F" w:rsidP="00D33FA2">
            <w:pPr>
              <w:pStyle w:val="Heading2"/>
              <w:numPr>
                <w:ilvl w:val="0"/>
                <w:numId w:val="4"/>
              </w:numPr>
              <w:spacing w:before="40" w:after="20" w:line="240" w:lineRule="auto"/>
              <w:ind w:right="29"/>
              <w:rPr>
                <w:rFonts w:ascii="Palatino Linotype" w:hAnsi="Palatino Linotype"/>
                <w:iCs w:val="0"/>
                <w:sz w:val="20"/>
              </w:rPr>
            </w:pPr>
            <w:r w:rsidRPr="004E4DE7">
              <w:rPr>
                <w:rFonts w:ascii="Palatino Linotype" w:hAnsi="Palatino Linotype"/>
                <w:b/>
                <w:bCs w:val="0"/>
                <w:sz w:val="20"/>
              </w:rPr>
              <w:t>Senior</w:t>
            </w:r>
            <w:r w:rsidR="00F209D3" w:rsidRPr="004E4DE7">
              <w:rPr>
                <w:rFonts w:ascii="Palatino Linotype" w:hAnsi="Palatino Linotype"/>
                <w:b/>
                <w:bCs w:val="0"/>
                <w:sz w:val="20"/>
              </w:rPr>
              <w:t xml:space="preserve"> Consultant–SAP EPM</w:t>
            </w:r>
            <w:r w:rsidR="00C10643" w:rsidRPr="004E4DE7">
              <w:rPr>
                <w:rFonts w:ascii="Palatino Linotype" w:hAnsi="Palatino Linotype"/>
                <w:b/>
                <w:bCs w:val="0"/>
                <w:sz w:val="20"/>
              </w:rPr>
              <w:t xml:space="preserve"> </w:t>
            </w:r>
            <w:r w:rsidR="00F209D3" w:rsidRPr="004E4DE7">
              <w:rPr>
                <w:rFonts w:ascii="Palatino Linotype" w:hAnsi="Palatino Linotype"/>
                <w:b/>
                <w:bCs w:val="0"/>
                <w:sz w:val="20"/>
              </w:rPr>
              <w:t>(BPC</w:t>
            </w:r>
            <w:r w:rsidRPr="004E4DE7">
              <w:rPr>
                <w:rFonts w:ascii="Palatino Linotype" w:hAnsi="Palatino Linotype"/>
                <w:b/>
                <w:bCs w:val="0"/>
                <w:sz w:val="20"/>
              </w:rPr>
              <w:t>)</w:t>
            </w:r>
            <w:r w:rsidR="002216C2" w:rsidRPr="004E4DE7">
              <w:rPr>
                <w:rFonts w:ascii="Palatino Linotype" w:hAnsi="Palatino Linotype"/>
                <w:b/>
                <w:bCs w:val="0"/>
                <w:sz w:val="20"/>
              </w:rPr>
              <w:t xml:space="preserve"> </w:t>
            </w:r>
            <w:r w:rsidR="002216C2" w:rsidRPr="004E4DE7">
              <w:rPr>
                <w:rFonts w:ascii="Palatino Linotype" w:hAnsi="Palatino Linotype"/>
                <w:bCs w:val="0"/>
                <w:sz w:val="20"/>
              </w:rPr>
              <w:t xml:space="preserve">at </w:t>
            </w:r>
            <w:r w:rsidR="002216C2" w:rsidRPr="004E4DE7">
              <w:rPr>
                <w:rFonts w:ascii="Palatino Linotype" w:hAnsi="Palatino Linotype"/>
                <w:b/>
                <w:bCs w:val="0"/>
                <w:sz w:val="20"/>
              </w:rPr>
              <w:t>PriceWaterhouseCoopers Pvt. Limited</w:t>
            </w:r>
            <w:r w:rsidR="005C1DFB" w:rsidRPr="004E4DE7">
              <w:rPr>
                <w:rFonts w:ascii="Palatino Linotype" w:hAnsi="Palatino Linotype"/>
                <w:b/>
                <w:bCs w:val="0"/>
                <w:sz w:val="20"/>
              </w:rPr>
              <w:t>,Ahmedabad</w:t>
            </w:r>
            <w:r w:rsidR="002216C2" w:rsidRPr="004E4DE7">
              <w:rPr>
                <w:rFonts w:ascii="Palatino Linotype" w:hAnsi="Palatino Linotype"/>
                <w:bCs w:val="0"/>
                <w:sz w:val="20"/>
              </w:rPr>
              <w:t xml:space="preserve"> </w:t>
            </w:r>
          </w:p>
          <w:p w:rsidR="00B96D37" w:rsidRPr="0081378F" w:rsidRDefault="0081251F" w:rsidP="00D33FA2">
            <w:pPr>
              <w:pStyle w:val="Heading2"/>
              <w:numPr>
                <w:ilvl w:val="0"/>
                <w:numId w:val="4"/>
              </w:numPr>
              <w:spacing w:before="40" w:after="20" w:line="240" w:lineRule="auto"/>
              <w:ind w:right="29"/>
              <w:rPr>
                <w:rFonts w:ascii="Palatino Linotype" w:hAnsi="Palatino Linotype"/>
                <w:i/>
                <w:iCs w:val="0"/>
                <w:sz w:val="20"/>
              </w:rPr>
            </w:pPr>
            <w:r w:rsidRPr="004E4DE7">
              <w:rPr>
                <w:rFonts w:ascii="Palatino Linotype" w:hAnsi="Palatino Linotype"/>
                <w:b/>
                <w:iCs w:val="0"/>
                <w:sz w:val="20"/>
              </w:rPr>
              <w:t>CA from ACCA,U.K.</w:t>
            </w:r>
            <w:r w:rsidR="0081378F" w:rsidRPr="004E4DE7">
              <w:rPr>
                <w:rFonts w:ascii="Palatino Linotype" w:hAnsi="Palatino Linotype"/>
                <w:iCs w:val="0"/>
                <w:sz w:val="20"/>
              </w:rPr>
              <w:t xml:space="preserve"> and </w:t>
            </w:r>
            <w:r w:rsidRPr="004E4DE7">
              <w:rPr>
                <w:rFonts w:ascii="Palatino Linotype" w:hAnsi="Palatino Linotype"/>
                <w:b/>
                <w:iCs w:val="0"/>
                <w:sz w:val="20"/>
              </w:rPr>
              <w:t>BBA</w:t>
            </w:r>
            <w:r w:rsidR="005360DC" w:rsidRPr="004E4DE7">
              <w:rPr>
                <w:rFonts w:ascii="Palatino Linotype" w:hAnsi="Palatino Linotype"/>
                <w:b/>
                <w:iCs w:val="0"/>
                <w:sz w:val="20"/>
              </w:rPr>
              <w:t>.</w:t>
            </w:r>
            <w:r w:rsidR="0081378F" w:rsidRPr="004E4DE7">
              <w:rPr>
                <w:rFonts w:ascii="Palatino Linotype" w:hAnsi="Palatino Linotype"/>
                <w:b/>
                <w:iCs w:val="0"/>
                <w:sz w:val="20"/>
              </w:rPr>
              <w:t xml:space="preserve"> </w:t>
            </w:r>
            <w:r w:rsidR="0081378F" w:rsidRPr="004E4DE7">
              <w:rPr>
                <w:rFonts w:ascii="Palatino Linotype" w:hAnsi="Palatino Linotype"/>
                <w:iCs w:val="0"/>
                <w:sz w:val="20"/>
              </w:rPr>
              <w:t>from</w:t>
            </w:r>
            <w:r w:rsidR="0081378F" w:rsidRPr="004E4DE7">
              <w:rPr>
                <w:rFonts w:ascii="Palatino Linotype" w:hAnsi="Palatino Linotype"/>
                <w:b/>
                <w:iCs w:val="0"/>
                <w:sz w:val="20"/>
              </w:rPr>
              <w:t xml:space="preserve"> University of </w:t>
            </w:r>
            <w:r w:rsidRPr="004E4DE7">
              <w:rPr>
                <w:rFonts w:ascii="Palatino Linotype" w:hAnsi="Palatino Linotype"/>
                <w:b/>
                <w:iCs w:val="0"/>
                <w:sz w:val="20"/>
              </w:rPr>
              <w:t>Gujarat</w:t>
            </w:r>
          </w:p>
        </w:tc>
      </w:tr>
      <w:tr w:rsidR="00CE5CE6" w:rsidRPr="005C1DFB" w:rsidTr="006271FD">
        <w:trPr>
          <w:cantSplit/>
          <w:trHeight w:val="330"/>
        </w:trPr>
        <w:tc>
          <w:tcPr>
            <w:tcW w:w="10455" w:type="dxa"/>
            <w:tcBorders>
              <w:bottom w:val="single" w:sz="4" w:space="0" w:color="FFFFFF"/>
            </w:tcBorders>
            <w:shd w:val="clear" w:color="auto" w:fill="E0E0E0"/>
          </w:tcPr>
          <w:p w:rsidR="00CE5CE6" w:rsidRPr="005C1DFB" w:rsidRDefault="00782461" w:rsidP="00782461">
            <w:pPr>
              <w:pStyle w:val="Heading2"/>
              <w:spacing w:before="40" w:after="20" w:line="240" w:lineRule="auto"/>
              <w:ind w:right="29"/>
              <w:rPr>
                <w:rFonts w:ascii="Palatino Linotype" w:hAnsi="Palatino Linotype"/>
                <w:bCs w:val="0"/>
                <w:sz w:val="20"/>
              </w:rPr>
            </w:pPr>
            <w:r w:rsidRPr="005C1DFB">
              <w:rPr>
                <w:rFonts w:ascii="Palatino Linotype" w:hAnsi="Palatino Linotype"/>
                <w:b/>
                <w:bCs w:val="0"/>
                <w:sz w:val="20"/>
              </w:rPr>
              <w:t xml:space="preserve">      </w:t>
            </w:r>
            <w:r w:rsidR="00CE5CE6" w:rsidRPr="005C1DFB">
              <w:rPr>
                <w:rFonts w:ascii="Palatino Linotype" w:hAnsi="Palatino Linotype"/>
                <w:b/>
                <w:bCs w:val="0"/>
                <w:sz w:val="20"/>
              </w:rPr>
              <w:t>Functional Strengths:</w:t>
            </w:r>
            <w:r w:rsidR="00817BAF" w:rsidRPr="005C1DFB">
              <w:rPr>
                <w:rFonts w:ascii="Palatino Linotype" w:hAnsi="Palatino Linotype"/>
                <w:b/>
                <w:bCs w:val="0"/>
                <w:sz w:val="20"/>
              </w:rPr>
              <w:t xml:space="preserve"> </w:t>
            </w:r>
            <w:r w:rsidRPr="005C1DFB">
              <w:rPr>
                <w:rFonts w:ascii="Palatino Linotype" w:hAnsi="Palatino Linotype"/>
                <w:bCs w:val="0"/>
                <w:sz w:val="20"/>
              </w:rPr>
              <w:t>Consolidation</w:t>
            </w:r>
            <w:r w:rsidR="004C1362">
              <w:rPr>
                <w:rFonts w:ascii="Palatino Linotype" w:hAnsi="Palatino Linotype"/>
                <w:bCs w:val="0"/>
                <w:sz w:val="20"/>
              </w:rPr>
              <w:t xml:space="preserve"> as per I.GAAP &amp; IFRS</w:t>
            </w:r>
            <w:r w:rsidR="00C20DB4" w:rsidRPr="005C1DFB">
              <w:rPr>
                <w:rFonts w:ascii="Palatino Linotype" w:hAnsi="Palatino Linotype"/>
                <w:bCs w:val="0"/>
                <w:sz w:val="20"/>
              </w:rPr>
              <w:t>,</w:t>
            </w:r>
            <w:r w:rsidR="00CE5CE6" w:rsidRPr="005C1DFB">
              <w:rPr>
                <w:rFonts w:ascii="Palatino Linotype" w:hAnsi="Palatino Linotype"/>
                <w:bCs w:val="0"/>
                <w:sz w:val="20"/>
              </w:rPr>
              <w:t xml:space="preserve"> </w:t>
            </w:r>
            <w:r w:rsidR="00301073" w:rsidRPr="005C1DFB">
              <w:rPr>
                <w:rFonts w:ascii="Palatino Linotype" w:hAnsi="Palatino Linotype"/>
                <w:bCs w:val="0"/>
                <w:sz w:val="20"/>
              </w:rPr>
              <w:t>Project Management</w:t>
            </w:r>
            <w:r w:rsidRPr="005C1DFB">
              <w:rPr>
                <w:rFonts w:ascii="Palatino Linotype" w:hAnsi="Palatino Linotype"/>
                <w:bCs w:val="0"/>
                <w:sz w:val="20"/>
              </w:rPr>
              <w:t xml:space="preserve"> &amp;</w:t>
            </w:r>
            <w:r w:rsidR="00CE5CE6" w:rsidRPr="005C1DFB">
              <w:rPr>
                <w:rFonts w:ascii="Palatino Linotype" w:hAnsi="Palatino Linotype"/>
                <w:bCs w:val="0"/>
                <w:sz w:val="20"/>
              </w:rPr>
              <w:t xml:space="preserve"> </w:t>
            </w:r>
            <w:r w:rsidR="00301073" w:rsidRPr="005C1DFB">
              <w:rPr>
                <w:rFonts w:ascii="Palatino Linotype" w:hAnsi="Palatino Linotype"/>
                <w:bCs w:val="0"/>
                <w:sz w:val="20"/>
              </w:rPr>
              <w:t xml:space="preserve">Business Analysis </w:t>
            </w:r>
          </w:p>
        </w:tc>
      </w:tr>
    </w:tbl>
    <w:p w:rsidR="00CE5CE6" w:rsidRPr="005C1DFB" w:rsidRDefault="00CE5CE6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P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p w:rsidR="005C1DFB" w:rsidRPr="00616AD8" w:rsidRDefault="005C1DFB">
      <w:pPr>
        <w:pStyle w:val="Title"/>
        <w:jc w:val="left"/>
        <w:rPr>
          <w:rFonts w:ascii="Palatino Linotype" w:hAnsi="Palatino Linotype"/>
          <w:noProof/>
          <w:sz w:val="4"/>
          <w:szCs w:val="4"/>
          <w:lang w:val="de-DE" w:eastAsia="en-GB"/>
        </w:rPr>
      </w:pPr>
    </w:p>
    <w:tbl>
      <w:tblPr>
        <w:tblW w:w="0" w:type="auto"/>
        <w:tblInd w:w="108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404"/>
      </w:tblGrid>
      <w:tr w:rsidR="00793E5C">
        <w:trPr>
          <w:trHeight w:val="322"/>
        </w:trPr>
        <w:tc>
          <w:tcPr>
            <w:tcW w:w="10404" w:type="dxa"/>
            <w:shd w:val="clear" w:color="auto" w:fill="E0E0E0"/>
          </w:tcPr>
          <w:p w:rsidR="00793E5C" w:rsidRDefault="00793E5C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20"/>
                <w:szCs w:val="18"/>
              </w:rPr>
              <w:t>PROFESSIONAL EXPERIENCE</w:t>
            </w:r>
          </w:p>
        </w:tc>
      </w:tr>
    </w:tbl>
    <w:p w:rsidR="00BC6A4C" w:rsidRDefault="00BC6A4C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BC6A4C" w:rsidRDefault="00BC6A4C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tbl>
      <w:tblPr>
        <w:tblW w:w="10455" w:type="dxa"/>
        <w:tblInd w:w="108" w:type="dxa"/>
        <w:shd w:val="clear" w:color="auto" w:fill="E0E0E0"/>
        <w:tblLook w:val="003F"/>
      </w:tblPr>
      <w:tblGrid>
        <w:gridCol w:w="2520"/>
        <w:gridCol w:w="1591"/>
        <w:gridCol w:w="3089"/>
        <w:gridCol w:w="3255"/>
      </w:tblGrid>
      <w:tr w:rsidR="00BC6A4C" w:rsidRPr="00C4651A" w:rsidTr="002D0A30">
        <w:trPr>
          <w:cantSplit/>
          <w:trHeight w:val="329"/>
        </w:trPr>
        <w:tc>
          <w:tcPr>
            <w:tcW w:w="4111" w:type="dxa"/>
            <w:gridSpan w:val="2"/>
            <w:shd w:val="clear" w:color="auto" w:fill="E0E0E0"/>
          </w:tcPr>
          <w:p w:rsidR="005A468A" w:rsidRDefault="00782461" w:rsidP="00782461">
            <w:pPr>
              <w:pStyle w:val="Heading2"/>
              <w:spacing w:line="240" w:lineRule="auto"/>
              <w:ind w:right="29"/>
              <w:rPr>
                <w:rFonts w:ascii="Palatino Linotype" w:hAnsi="Palatino Linotype"/>
                <w:b/>
                <w:bCs w:val="0"/>
                <w:sz w:val="20"/>
              </w:rPr>
            </w:pPr>
            <w:r w:rsidRPr="005A468A">
              <w:rPr>
                <w:rFonts w:ascii="Palatino Linotype" w:hAnsi="Palatino Linotype"/>
                <w:b/>
                <w:bCs w:val="0"/>
                <w:sz w:val="20"/>
              </w:rPr>
              <w:t>Senior</w:t>
            </w:r>
            <w:r w:rsidR="00F209D3" w:rsidRPr="005A468A">
              <w:rPr>
                <w:rFonts w:ascii="Palatino Linotype" w:hAnsi="Palatino Linotype"/>
                <w:b/>
                <w:bCs w:val="0"/>
                <w:sz w:val="20"/>
              </w:rPr>
              <w:t xml:space="preserve"> Consultant</w:t>
            </w:r>
            <w:r w:rsidR="005A468A">
              <w:rPr>
                <w:rFonts w:ascii="Palatino Linotype" w:hAnsi="Palatino Linotype"/>
                <w:b/>
                <w:bCs w:val="0"/>
                <w:sz w:val="20"/>
              </w:rPr>
              <w:t>,</w:t>
            </w:r>
          </w:p>
          <w:p w:rsidR="00BC6A4C" w:rsidRPr="005A468A" w:rsidRDefault="00F209D3" w:rsidP="00782461">
            <w:pPr>
              <w:pStyle w:val="Heading2"/>
              <w:spacing w:line="240" w:lineRule="auto"/>
              <w:ind w:right="29"/>
              <w:rPr>
                <w:rFonts w:ascii="Palatino Linotype" w:hAnsi="Palatino Linotype"/>
                <w:b/>
                <w:bCs w:val="0"/>
                <w:iCs w:val="0"/>
                <w:sz w:val="20"/>
              </w:rPr>
            </w:pPr>
            <w:r w:rsidRPr="005A468A">
              <w:rPr>
                <w:rFonts w:ascii="Palatino Linotype" w:hAnsi="Palatino Linotype"/>
                <w:b/>
                <w:bCs w:val="0"/>
                <w:sz w:val="20"/>
              </w:rPr>
              <w:t>SAP EPM</w:t>
            </w:r>
            <w:r w:rsidR="00C10643" w:rsidRPr="005A468A">
              <w:rPr>
                <w:rFonts w:ascii="Palatino Linotype" w:hAnsi="Palatino Linotype"/>
                <w:b/>
                <w:bCs w:val="0"/>
                <w:sz w:val="20"/>
              </w:rPr>
              <w:t xml:space="preserve"> </w:t>
            </w:r>
            <w:r w:rsidRPr="005A468A">
              <w:rPr>
                <w:rFonts w:ascii="Palatino Linotype" w:hAnsi="Palatino Linotype"/>
                <w:b/>
                <w:bCs w:val="0"/>
                <w:sz w:val="20"/>
              </w:rPr>
              <w:t>(BPC</w:t>
            </w:r>
            <w:r w:rsidR="00782461" w:rsidRPr="005A468A">
              <w:rPr>
                <w:rFonts w:ascii="Palatino Linotype" w:hAnsi="Palatino Linotype"/>
                <w:b/>
                <w:bCs w:val="0"/>
                <w:sz w:val="20"/>
              </w:rPr>
              <w:t>)</w:t>
            </w:r>
          </w:p>
        </w:tc>
        <w:tc>
          <w:tcPr>
            <w:tcW w:w="3089" w:type="dxa"/>
            <w:shd w:val="clear" w:color="auto" w:fill="E0E0E0"/>
          </w:tcPr>
          <w:p w:rsidR="00BC6A4C" w:rsidRDefault="00BC6A4C" w:rsidP="002D0A30">
            <w:pPr>
              <w:pStyle w:val="Heading2"/>
              <w:spacing w:line="240" w:lineRule="auto"/>
              <w:ind w:right="29"/>
              <w:jc w:val="center"/>
              <w:rPr>
                <w:rFonts w:ascii="Palatino Linotype" w:hAnsi="Palatino Linotype"/>
                <w:b/>
                <w:bCs w:val="0"/>
                <w:iCs w:val="0"/>
                <w:sz w:val="20"/>
              </w:rPr>
            </w:pPr>
            <w:r>
              <w:rPr>
                <w:rFonts w:ascii="Palatino Linotype" w:hAnsi="Palatino Linotype"/>
                <w:b/>
                <w:bCs w:val="0"/>
                <w:iCs w:val="0"/>
                <w:sz w:val="20"/>
              </w:rPr>
              <w:t>PriceWaterhouseCoopers Pvt. Ltd.</w:t>
            </w:r>
            <w:r w:rsidR="005C1DFB">
              <w:rPr>
                <w:rFonts w:ascii="Palatino Linotype" w:hAnsi="Palatino Linotype"/>
                <w:b/>
                <w:bCs w:val="0"/>
                <w:iCs w:val="0"/>
                <w:sz w:val="20"/>
              </w:rPr>
              <w:t xml:space="preserve"> Ahmedabad</w:t>
            </w:r>
          </w:p>
        </w:tc>
        <w:tc>
          <w:tcPr>
            <w:tcW w:w="3255" w:type="dxa"/>
            <w:shd w:val="clear" w:color="auto" w:fill="E0E0E0"/>
          </w:tcPr>
          <w:p w:rsidR="00BC6A4C" w:rsidRDefault="00782461" w:rsidP="002D0A30">
            <w:pPr>
              <w:pStyle w:val="Heading2"/>
              <w:spacing w:line="240" w:lineRule="auto"/>
              <w:ind w:right="29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C6A4C">
              <w:rPr>
                <w:b/>
              </w:rPr>
              <w:t xml:space="preserve"> Months</w:t>
            </w:r>
          </w:p>
          <w:p w:rsidR="00BC6A4C" w:rsidRPr="00C4651A" w:rsidRDefault="00C10643" w:rsidP="00BC6A4C">
            <w:pPr>
              <w:pStyle w:val="Heading2"/>
              <w:spacing w:line="240" w:lineRule="auto"/>
              <w:ind w:right="29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C6A4C">
              <w:rPr>
                <w:b/>
              </w:rPr>
              <w:t>Sep ‘10- Present)</w:t>
            </w:r>
          </w:p>
        </w:tc>
      </w:tr>
      <w:tr w:rsidR="00BC6A4C" w:rsidRPr="00F60561" w:rsidTr="002D0A30">
        <w:tblPrEx>
          <w:shd w:val="clear" w:color="auto" w:fill="F3F3F3"/>
        </w:tblPrEx>
        <w:trPr>
          <w:cantSplit/>
          <w:trHeight w:val="330"/>
        </w:trPr>
        <w:tc>
          <w:tcPr>
            <w:tcW w:w="2520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E0E0E0"/>
            <w:vAlign w:val="center"/>
          </w:tcPr>
          <w:p w:rsidR="00BC6A4C" w:rsidRPr="00F60561" w:rsidRDefault="00BC6A4C" w:rsidP="002D0A30">
            <w:pPr>
              <w:spacing w:before="60" w:after="60" w:line="20" w:lineRule="atLeast"/>
              <w:ind w:right="29"/>
              <w:jc w:val="center"/>
              <w:rPr>
                <w:rFonts w:ascii="Palatino Linotype" w:hAnsi="Palatino Linotype"/>
                <w:b/>
                <w:sz w:val="19"/>
                <w:szCs w:val="19"/>
              </w:rPr>
            </w:pPr>
            <w:r w:rsidRPr="00F60561">
              <w:rPr>
                <w:rFonts w:ascii="Palatino Linotype" w:hAnsi="Palatino Linotype"/>
                <w:b/>
                <w:sz w:val="19"/>
                <w:szCs w:val="19"/>
              </w:rPr>
              <w:t>Roles &amp; Responsibilities</w:t>
            </w:r>
          </w:p>
        </w:tc>
        <w:tc>
          <w:tcPr>
            <w:tcW w:w="7935" w:type="dxa"/>
            <w:gridSpan w:val="3"/>
            <w:tcBorders>
              <w:top w:val="single" w:sz="6" w:space="0" w:color="FFFFFF"/>
              <w:left w:val="single" w:sz="6" w:space="0" w:color="FFFFFF"/>
              <w:bottom w:val="dashSmallGap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BC6A4C" w:rsidRPr="00F60561" w:rsidRDefault="00BC6A4C" w:rsidP="002D0A30">
            <w:pPr>
              <w:spacing w:before="60" w:after="60"/>
              <w:ind w:right="29"/>
              <w:jc w:val="both"/>
              <w:rPr>
                <w:rFonts w:ascii="Palatino Linotype" w:hAnsi="Palatino Linotype"/>
                <w:b/>
                <w:sz w:val="19"/>
                <w:szCs w:val="19"/>
              </w:rPr>
            </w:pPr>
            <w:r w:rsidRPr="00F60561">
              <w:rPr>
                <w:rFonts w:ascii="Palatino Linotype" w:hAnsi="Palatino Linotype"/>
                <w:b/>
                <w:sz w:val="19"/>
                <w:szCs w:val="19"/>
              </w:rPr>
              <w:t>ABOUT THE ASSIGNMENT</w:t>
            </w:r>
          </w:p>
        </w:tc>
      </w:tr>
      <w:tr w:rsidR="00316D07" w:rsidRPr="00F60561" w:rsidTr="00C47C46">
        <w:tblPrEx>
          <w:shd w:val="clear" w:color="auto" w:fill="F3F3F3"/>
        </w:tblPrEx>
        <w:trPr>
          <w:cantSplit/>
          <w:trHeight w:val="33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dashSmallGap" w:sz="4" w:space="0" w:color="auto"/>
            </w:tcBorders>
            <w:shd w:val="clear" w:color="auto" w:fill="E0E0E0"/>
            <w:vAlign w:val="center"/>
          </w:tcPr>
          <w:p w:rsidR="00316D07" w:rsidRPr="005A468A" w:rsidRDefault="00316D07" w:rsidP="00C47C46">
            <w:pPr>
              <w:spacing w:before="60" w:after="60" w:line="20" w:lineRule="atLeast"/>
              <w:ind w:right="29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5A468A">
              <w:rPr>
                <w:rFonts w:ascii="Palatino Linotype" w:hAnsi="Palatino Linotype"/>
                <w:b/>
                <w:sz w:val="20"/>
                <w:szCs w:val="20"/>
              </w:rPr>
              <w:t>Client: Reliance Infrastructure Ltd., Mumbai.</w:t>
            </w:r>
          </w:p>
          <w:p w:rsidR="00316D07" w:rsidRDefault="00782461" w:rsidP="00C47C46">
            <w:pPr>
              <w:spacing w:before="60" w:after="60" w:line="20" w:lineRule="atLeast"/>
              <w:ind w:right="29"/>
              <w:jc w:val="center"/>
              <w:rPr>
                <w:rFonts w:ascii="Palatino Linotype" w:hAnsi="Palatino Linotype"/>
                <w:b/>
                <w:sz w:val="19"/>
                <w:szCs w:val="19"/>
              </w:rPr>
            </w:pPr>
            <w:r w:rsidRPr="005A468A">
              <w:rPr>
                <w:rFonts w:ascii="Palatino Linotype" w:hAnsi="Palatino Linotype"/>
                <w:b/>
                <w:sz w:val="20"/>
                <w:szCs w:val="20"/>
              </w:rPr>
              <w:t>(Oct, 2010 – Aug</w:t>
            </w:r>
            <w:r w:rsidR="00316D07" w:rsidRPr="005A468A">
              <w:rPr>
                <w:rFonts w:ascii="Palatino Linotype" w:hAnsi="Palatino Linotype"/>
                <w:b/>
                <w:sz w:val="20"/>
                <w:szCs w:val="20"/>
              </w:rPr>
              <w:t>, 2011)</w:t>
            </w:r>
          </w:p>
        </w:tc>
        <w:tc>
          <w:tcPr>
            <w:tcW w:w="7935" w:type="dxa"/>
            <w:gridSpan w:val="3"/>
            <w:tcBorders>
              <w:top w:val="dashSmallGap" w:sz="4" w:space="0" w:color="auto"/>
              <w:left w:val="dashSmallGap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auto"/>
          </w:tcPr>
          <w:p w:rsidR="005C1DFB" w:rsidRDefault="005C1DFB" w:rsidP="00C47C46">
            <w:pPr>
              <w:spacing w:line="240" w:lineRule="atLeast"/>
              <w:rPr>
                <w:rFonts w:ascii="Palatino Linotype" w:hAnsi="Palatino Linotype"/>
                <w:sz w:val="19"/>
                <w:szCs w:val="19"/>
              </w:rPr>
            </w:pPr>
          </w:p>
          <w:p w:rsidR="005C1DFB" w:rsidRDefault="005C1DFB" w:rsidP="00C47C46">
            <w:pPr>
              <w:spacing w:line="240" w:lineRule="atLeast"/>
              <w:rPr>
                <w:rFonts w:ascii="Palatino Linotype" w:hAnsi="Palatino Linotype"/>
                <w:sz w:val="19"/>
                <w:szCs w:val="19"/>
              </w:rPr>
            </w:pPr>
          </w:p>
          <w:p w:rsidR="00316D07" w:rsidRPr="005A468A" w:rsidRDefault="00316D07" w:rsidP="00C47C46">
            <w:pPr>
              <w:spacing w:line="240" w:lineRule="atLeast"/>
              <w:rPr>
                <w:rFonts w:ascii="Palatino Linotype" w:hAnsi="Palatino Linotype"/>
                <w:sz w:val="20"/>
                <w:szCs w:val="20"/>
              </w:rPr>
            </w:pPr>
            <w:r w:rsidRPr="005A468A">
              <w:rPr>
                <w:rFonts w:ascii="Palatino Linotype" w:hAnsi="Palatino Linotype"/>
                <w:sz w:val="20"/>
                <w:szCs w:val="20"/>
              </w:rPr>
              <w:t>Reliance Infrastructure Limited is India’s leading utility company having presence in across the value chain of power business i.e. Generation, Transmission, Distribution, EPC and Trading and</w:t>
            </w:r>
            <w:r w:rsidR="00782461" w:rsidRPr="005A468A">
              <w:rPr>
                <w:rFonts w:ascii="Palatino Linotype" w:hAnsi="Palatino Linotype"/>
                <w:sz w:val="20"/>
                <w:szCs w:val="20"/>
              </w:rPr>
              <w:t xml:space="preserve"> one of </w:t>
            </w:r>
            <w:r w:rsidRPr="005A468A">
              <w:rPr>
                <w:rFonts w:ascii="Palatino Linotype" w:hAnsi="Palatino Linotype"/>
                <w:sz w:val="20"/>
                <w:szCs w:val="20"/>
              </w:rPr>
              <w:t xml:space="preserve">the largest </w:t>
            </w:r>
            <w:r w:rsidR="005A468A">
              <w:rPr>
                <w:rFonts w:ascii="Palatino Linotype" w:hAnsi="Palatino Linotype"/>
                <w:sz w:val="20"/>
                <w:szCs w:val="20"/>
              </w:rPr>
              <w:t>Infrastructure C</w:t>
            </w:r>
            <w:r w:rsidRPr="005A468A">
              <w:rPr>
                <w:rFonts w:ascii="Palatino Linotype" w:hAnsi="Palatino Linotype"/>
                <w:sz w:val="20"/>
                <w:szCs w:val="20"/>
              </w:rPr>
              <w:t xml:space="preserve">ompany by developing projects in all high growth areas in infrastructure sector i.e. Roads, Highways, Metro Rails, Airports and Real Estate. The scope of the project included Legal consolidation </w:t>
            </w:r>
            <w:r w:rsidR="00782461" w:rsidRPr="005A468A">
              <w:rPr>
                <w:rFonts w:ascii="Palatino Linotype" w:hAnsi="Palatino Linotype"/>
                <w:sz w:val="20"/>
                <w:szCs w:val="20"/>
              </w:rPr>
              <w:t>as per I.GAAP and IFRS.</w:t>
            </w:r>
          </w:p>
          <w:p w:rsidR="00316D07" w:rsidRPr="005A468A" w:rsidRDefault="00316D07" w:rsidP="00C47C46">
            <w:pPr>
              <w:spacing w:line="240" w:lineRule="atLeast"/>
              <w:rPr>
                <w:rFonts w:ascii="Palatino Linotype" w:hAnsi="Palatino Linotype"/>
                <w:sz w:val="20"/>
                <w:szCs w:val="20"/>
              </w:rPr>
            </w:pPr>
          </w:p>
          <w:p w:rsidR="005C1DFB" w:rsidRPr="005A468A" w:rsidRDefault="005C1DFB" w:rsidP="00C47C46">
            <w:pPr>
              <w:spacing w:line="240" w:lineRule="atLeast"/>
              <w:rPr>
                <w:rFonts w:ascii="Palatino Linotype" w:hAnsi="Palatino Linotype"/>
                <w:sz w:val="20"/>
                <w:szCs w:val="20"/>
              </w:rPr>
            </w:pPr>
          </w:p>
          <w:p w:rsidR="005C1DFB" w:rsidRPr="005A468A" w:rsidRDefault="005C1DFB" w:rsidP="00C47C46">
            <w:pPr>
              <w:spacing w:line="240" w:lineRule="atLeast"/>
              <w:rPr>
                <w:rFonts w:ascii="Palatino Linotype" w:hAnsi="Palatino Linotype"/>
                <w:sz w:val="20"/>
                <w:szCs w:val="20"/>
              </w:rPr>
            </w:pPr>
          </w:p>
          <w:p w:rsidR="00316D07" w:rsidRPr="005A468A" w:rsidRDefault="00316D07" w:rsidP="00C47C46">
            <w:pPr>
              <w:tabs>
                <w:tab w:val="left" w:pos="990"/>
              </w:tabs>
              <w:rPr>
                <w:rFonts w:ascii="Palatino Linotype" w:hAnsi="Palatino Linotype"/>
                <w:b/>
                <w:sz w:val="20"/>
                <w:szCs w:val="20"/>
                <w:u w:val="single"/>
              </w:rPr>
            </w:pPr>
            <w:r w:rsidRPr="005A468A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5A468A">
              <w:rPr>
                <w:rFonts w:ascii="Palatino Linotype" w:hAnsi="Palatino Linotype"/>
                <w:b/>
                <w:sz w:val="20"/>
                <w:szCs w:val="20"/>
                <w:u w:val="single"/>
              </w:rPr>
              <w:t>Key Responsibilities:</w:t>
            </w:r>
          </w:p>
          <w:p w:rsidR="00F05878" w:rsidRPr="005A468A" w:rsidRDefault="00F05878" w:rsidP="00C47C46">
            <w:pPr>
              <w:tabs>
                <w:tab w:val="left" w:pos="990"/>
              </w:tabs>
              <w:rPr>
                <w:rFonts w:ascii="Palatino Linotype" w:hAnsi="Palatino Linotype"/>
                <w:b/>
                <w:sz w:val="20"/>
                <w:szCs w:val="20"/>
                <w:u w:val="single"/>
              </w:rPr>
            </w:pPr>
          </w:p>
          <w:p w:rsidR="00316D07" w:rsidRPr="005A468A" w:rsidRDefault="00316D07" w:rsidP="00D33FA2">
            <w:pPr>
              <w:numPr>
                <w:ilvl w:val="0"/>
                <w:numId w:val="3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5A468A">
              <w:rPr>
                <w:rFonts w:ascii="Palatino Linotype" w:hAnsi="Palatino Linotype"/>
                <w:sz w:val="19"/>
                <w:szCs w:val="19"/>
              </w:rPr>
              <w:t>Requirement discussion with the client, configuration of SAP BPC, unit testing and integration testing for reports on Financial Consolidation.</w:t>
            </w:r>
          </w:p>
          <w:p w:rsidR="00F05878" w:rsidRPr="005A468A" w:rsidRDefault="005A468A" w:rsidP="00D33FA2">
            <w:pPr>
              <w:numPr>
                <w:ilvl w:val="0"/>
                <w:numId w:val="3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color w:val="000000"/>
                <w:sz w:val="20"/>
                <w:szCs w:val="20"/>
              </w:rPr>
              <w:t>M</w:t>
            </w:r>
            <w:r w:rsidR="00F05878" w:rsidRPr="005A468A">
              <w:rPr>
                <w:rFonts w:ascii="Palatino Linotype" w:hAnsi="Palatino Linotype" w:cs="Arial"/>
                <w:color w:val="000000"/>
                <w:sz w:val="20"/>
                <w:szCs w:val="20"/>
              </w:rPr>
              <w:t>ulti level consolidation</w:t>
            </w:r>
          </w:p>
          <w:p w:rsidR="00F05878" w:rsidRPr="005A468A" w:rsidRDefault="00F05878" w:rsidP="00D33FA2">
            <w:pPr>
              <w:numPr>
                <w:ilvl w:val="0"/>
                <w:numId w:val="3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color w:val="000000"/>
                <w:sz w:val="20"/>
                <w:szCs w:val="20"/>
              </w:rPr>
              <w:t>Dimension &amp; application management</w:t>
            </w:r>
          </w:p>
          <w:p w:rsidR="00F05878" w:rsidRPr="005A468A" w:rsidRDefault="00F05878" w:rsidP="00D33FA2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rPr>
                <w:rFonts w:ascii="Palatino Linotype" w:hAnsi="Palatino Linotype" w:cs="Arial"/>
                <w:color w:val="000000"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color w:val="000000"/>
                <w:sz w:val="20"/>
                <w:szCs w:val="20"/>
              </w:rPr>
              <w:t>Data upload using automatic as well as manual upload mode.</w:t>
            </w:r>
          </w:p>
          <w:p w:rsidR="00F05878" w:rsidRPr="005A468A" w:rsidRDefault="00F05878" w:rsidP="00D33FA2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rPr>
                <w:rFonts w:ascii="Palatino Linotype" w:hAnsi="Palatino Linotype" w:cs="Arial"/>
                <w:color w:val="000000"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color w:val="000000"/>
                <w:sz w:val="20"/>
                <w:szCs w:val="20"/>
              </w:rPr>
              <w:t>Inter-company eliminations &amp; Ownership management.</w:t>
            </w:r>
          </w:p>
          <w:p w:rsidR="00F05878" w:rsidRPr="005A468A" w:rsidRDefault="00F05878" w:rsidP="00D33FA2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rPr>
                <w:rFonts w:ascii="Palatino Linotype" w:hAnsi="Palatino Linotype" w:cs="Arial"/>
                <w:color w:val="000000"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color w:val="000000"/>
                <w:sz w:val="20"/>
                <w:szCs w:val="20"/>
              </w:rPr>
              <w:t>Business Rules.</w:t>
            </w:r>
          </w:p>
          <w:p w:rsidR="005C1DFB" w:rsidRPr="005A468A" w:rsidRDefault="005A468A" w:rsidP="00D33FA2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rPr>
                <w:rFonts w:ascii="Palatino Linotype" w:hAnsi="Palatino Linotype" w:cs="Arial"/>
                <w:color w:val="000000"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color w:val="000000"/>
                <w:sz w:val="20"/>
                <w:szCs w:val="20"/>
              </w:rPr>
              <w:t>Journals and J</w:t>
            </w:r>
            <w:r w:rsidR="005C1DFB" w:rsidRPr="005A468A">
              <w:rPr>
                <w:rFonts w:ascii="Palatino Linotype" w:hAnsi="Palatino Linotype" w:cs="Arial"/>
                <w:color w:val="000000"/>
                <w:sz w:val="20"/>
                <w:szCs w:val="20"/>
              </w:rPr>
              <w:t>ournal Reporting.</w:t>
            </w:r>
          </w:p>
          <w:p w:rsidR="005C1DFB" w:rsidRPr="005A468A" w:rsidRDefault="005C1DFB" w:rsidP="00D33FA2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rPr>
                <w:rFonts w:ascii="Palatino Linotype" w:hAnsi="Palatino Linotype" w:cs="Arial"/>
                <w:color w:val="000000"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color w:val="000000"/>
                <w:sz w:val="20"/>
                <w:szCs w:val="20"/>
              </w:rPr>
              <w:t>Financial statements, Cash Flow &amp; Fixed asset schedule reporting.</w:t>
            </w:r>
          </w:p>
          <w:p w:rsidR="00F05878" w:rsidRPr="005A468A" w:rsidRDefault="005C1DFB" w:rsidP="00D33FA2">
            <w:pPr>
              <w:numPr>
                <w:ilvl w:val="0"/>
                <w:numId w:val="3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color w:val="000000"/>
                <w:sz w:val="20"/>
                <w:szCs w:val="20"/>
              </w:rPr>
              <w:t>Dynamic &amp; Static reports and Input schedules</w:t>
            </w:r>
          </w:p>
          <w:p w:rsidR="00316D07" w:rsidRPr="005A468A" w:rsidRDefault="00316D07" w:rsidP="00D33FA2">
            <w:pPr>
              <w:numPr>
                <w:ilvl w:val="0"/>
                <w:numId w:val="3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5A468A">
              <w:rPr>
                <w:rFonts w:ascii="Palatino Linotype" w:hAnsi="Palatino Linotype"/>
                <w:sz w:val="20"/>
                <w:szCs w:val="20"/>
              </w:rPr>
              <w:t>Imparted user training</w:t>
            </w:r>
            <w:r w:rsidR="00782461" w:rsidRPr="005A468A">
              <w:rPr>
                <w:rFonts w:ascii="Palatino Linotype" w:hAnsi="Palatino Linotype"/>
                <w:sz w:val="20"/>
                <w:szCs w:val="20"/>
              </w:rPr>
              <w:t xml:space="preserve"> and ensuring</w:t>
            </w:r>
            <w:r w:rsidRPr="005A468A">
              <w:rPr>
                <w:rFonts w:ascii="Palatino Linotype" w:hAnsi="Palatino Linotype"/>
                <w:sz w:val="20"/>
                <w:szCs w:val="20"/>
              </w:rPr>
              <w:t xml:space="preserve"> smooth Go-live.</w:t>
            </w:r>
          </w:p>
          <w:p w:rsidR="00316D07" w:rsidRPr="005A468A" w:rsidRDefault="00316D07" w:rsidP="00D33FA2">
            <w:pPr>
              <w:numPr>
                <w:ilvl w:val="0"/>
                <w:numId w:val="3"/>
              </w:numPr>
              <w:rPr>
                <w:rFonts w:ascii="Palatino Linotype" w:hAnsi="Palatino Linotype"/>
                <w:sz w:val="20"/>
                <w:szCs w:val="20"/>
              </w:rPr>
            </w:pPr>
            <w:r w:rsidRPr="005A468A">
              <w:rPr>
                <w:rFonts w:ascii="Palatino Linotype" w:hAnsi="Palatino Linotype"/>
                <w:sz w:val="20"/>
                <w:szCs w:val="20"/>
              </w:rPr>
              <w:t xml:space="preserve">Functional support to </w:t>
            </w:r>
            <w:r w:rsidR="00782461" w:rsidRPr="005A468A">
              <w:rPr>
                <w:rFonts w:ascii="Palatino Linotype" w:hAnsi="Palatino Linotype"/>
                <w:sz w:val="20"/>
                <w:szCs w:val="20"/>
              </w:rPr>
              <w:t>the core Business Team</w:t>
            </w:r>
            <w:r w:rsidRPr="005A468A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5C1DFB" w:rsidRPr="005A468A" w:rsidRDefault="005C1DFB" w:rsidP="00D33FA2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jc w:val="both"/>
              <w:rPr>
                <w:rFonts w:ascii="Calibri" w:hAnsi="Calibri" w:cs="Arial"/>
                <w:spacing w:val="-3"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spacing w:val="-3"/>
                <w:sz w:val="20"/>
                <w:szCs w:val="20"/>
              </w:rPr>
              <w:t>Manage the quality of the deliverables and provide support for various scenarios</w:t>
            </w:r>
            <w:r w:rsidRPr="005A468A">
              <w:rPr>
                <w:rFonts w:ascii="Calibri" w:hAnsi="Calibri" w:cs="Arial"/>
                <w:spacing w:val="-3"/>
                <w:sz w:val="20"/>
                <w:szCs w:val="20"/>
              </w:rPr>
              <w:t>.</w:t>
            </w:r>
          </w:p>
          <w:p w:rsidR="00316D07" w:rsidRPr="0049660E" w:rsidRDefault="00316D07" w:rsidP="005C1DFB">
            <w:pPr>
              <w:ind w:left="720"/>
              <w:rPr>
                <w:rFonts w:ascii="Palatino Linotype" w:hAnsi="Palatino Linotype"/>
                <w:sz w:val="19"/>
                <w:szCs w:val="19"/>
              </w:rPr>
            </w:pPr>
          </w:p>
        </w:tc>
      </w:tr>
    </w:tbl>
    <w:p w:rsidR="00DA2699" w:rsidRDefault="00DA2699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5C1DFB" w:rsidRDefault="005C1DFB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3843F6" w:rsidRDefault="003843F6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BC6A4C" w:rsidRDefault="00BC6A4C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p w:rsidR="00BC6A4C" w:rsidRDefault="00BC6A4C">
      <w:pPr>
        <w:ind w:right="29"/>
        <w:rPr>
          <w:rFonts w:ascii="Palatino Linotype" w:hAnsi="Palatino Linotype"/>
          <w:sz w:val="2"/>
          <w:szCs w:val="18"/>
          <w:lang w:val="de-DE"/>
        </w:rPr>
      </w:pPr>
    </w:p>
    <w:tbl>
      <w:tblPr>
        <w:tblW w:w="10455" w:type="dxa"/>
        <w:tblInd w:w="108" w:type="dxa"/>
        <w:shd w:val="clear" w:color="auto" w:fill="E0E0E0"/>
        <w:tblLook w:val="003F"/>
      </w:tblPr>
      <w:tblGrid>
        <w:gridCol w:w="2520"/>
        <w:gridCol w:w="1591"/>
        <w:gridCol w:w="3089"/>
        <w:gridCol w:w="3255"/>
      </w:tblGrid>
      <w:tr w:rsidR="00B942EF" w:rsidTr="00976EB3">
        <w:trPr>
          <w:cantSplit/>
          <w:trHeight w:val="329"/>
        </w:trPr>
        <w:tc>
          <w:tcPr>
            <w:tcW w:w="4111" w:type="dxa"/>
            <w:gridSpan w:val="2"/>
            <w:shd w:val="clear" w:color="auto" w:fill="E0E0E0"/>
          </w:tcPr>
          <w:p w:rsidR="00F518A4" w:rsidRDefault="00B942EF" w:rsidP="00976EB3">
            <w:pPr>
              <w:pStyle w:val="Heading2"/>
              <w:spacing w:line="240" w:lineRule="auto"/>
              <w:ind w:right="29"/>
              <w:rPr>
                <w:rFonts w:ascii="Palatino Linotype" w:hAnsi="Palatino Linotype"/>
                <w:b/>
                <w:bCs w:val="0"/>
                <w:iCs w:val="0"/>
                <w:sz w:val="20"/>
              </w:rPr>
            </w:pPr>
            <w:r>
              <w:rPr>
                <w:rFonts w:ascii="Palatino Linotype" w:hAnsi="Palatino Linotype"/>
                <w:b/>
                <w:bCs w:val="0"/>
                <w:iCs w:val="0"/>
                <w:sz w:val="20"/>
              </w:rPr>
              <w:t>Asst</w:t>
            </w:r>
            <w:r w:rsidR="00ED5BBC">
              <w:rPr>
                <w:rFonts w:ascii="Palatino Linotype" w:hAnsi="Palatino Linotype"/>
                <w:b/>
                <w:bCs w:val="0"/>
                <w:iCs w:val="0"/>
                <w:sz w:val="20"/>
              </w:rPr>
              <w:t>.</w:t>
            </w:r>
            <w:r>
              <w:rPr>
                <w:rFonts w:ascii="Palatino Linotype" w:hAnsi="Palatino Linotype"/>
                <w:b/>
                <w:bCs w:val="0"/>
                <w:iCs w:val="0"/>
                <w:sz w:val="20"/>
              </w:rPr>
              <w:t xml:space="preserve"> Manager, </w:t>
            </w:r>
          </w:p>
          <w:p w:rsidR="00B942EF" w:rsidRDefault="00F05878" w:rsidP="00976EB3">
            <w:pPr>
              <w:pStyle w:val="Heading2"/>
              <w:spacing w:line="240" w:lineRule="auto"/>
              <w:ind w:right="29"/>
              <w:rPr>
                <w:rFonts w:ascii="Palatino Linotype" w:hAnsi="Palatino Linotype"/>
                <w:b/>
                <w:bCs w:val="0"/>
                <w:iCs w:val="0"/>
                <w:sz w:val="20"/>
              </w:rPr>
            </w:pPr>
            <w:r>
              <w:rPr>
                <w:rFonts w:ascii="Palatino Linotype" w:hAnsi="Palatino Linotype"/>
                <w:b/>
                <w:bCs w:val="0"/>
                <w:iCs w:val="0"/>
                <w:sz w:val="20"/>
              </w:rPr>
              <w:t>Accounts &amp; Finance</w:t>
            </w:r>
          </w:p>
        </w:tc>
        <w:tc>
          <w:tcPr>
            <w:tcW w:w="3089" w:type="dxa"/>
            <w:shd w:val="clear" w:color="auto" w:fill="E0E0E0"/>
          </w:tcPr>
          <w:p w:rsidR="00B942EF" w:rsidRDefault="00F05878" w:rsidP="00F113D7">
            <w:pPr>
              <w:pStyle w:val="Heading2"/>
              <w:spacing w:line="240" w:lineRule="auto"/>
              <w:ind w:right="29"/>
              <w:jc w:val="center"/>
              <w:rPr>
                <w:rFonts w:ascii="Palatino Linotype" w:hAnsi="Palatino Linotype"/>
                <w:b/>
                <w:bCs w:val="0"/>
                <w:iCs w:val="0"/>
                <w:sz w:val="20"/>
              </w:rPr>
            </w:pPr>
            <w:r>
              <w:rPr>
                <w:rFonts w:ascii="Palatino Linotype" w:hAnsi="Palatino Linotype"/>
                <w:b/>
                <w:bCs w:val="0"/>
                <w:iCs w:val="0"/>
                <w:sz w:val="20"/>
              </w:rPr>
              <w:t>Alok Industries</w:t>
            </w:r>
            <w:r w:rsidR="00D179B0">
              <w:rPr>
                <w:rFonts w:ascii="Palatino Linotype" w:hAnsi="Palatino Linotype"/>
                <w:b/>
                <w:bCs w:val="0"/>
                <w:iCs w:val="0"/>
                <w:sz w:val="20"/>
              </w:rPr>
              <w:t xml:space="preserve"> Limited</w:t>
            </w:r>
            <w:r w:rsidR="005C1DFB">
              <w:rPr>
                <w:rFonts w:ascii="Palatino Linotype" w:hAnsi="Palatino Linotype"/>
                <w:b/>
                <w:bCs w:val="0"/>
                <w:iCs w:val="0"/>
                <w:sz w:val="20"/>
              </w:rPr>
              <w:t>,Mumbai</w:t>
            </w:r>
          </w:p>
        </w:tc>
        <w:tc>
          <w:tcPr>
            <w:tcW w:w="3255" w:type="dxa"/>
            <w:shd w:val="clear" w:color="auto" w:fill="E0E0E0"/>
          </w:tcPr>
          <w:p w:rsidR="00301073" w:rsidRDefault="00D179B0" w:rsidP="00C4651A">
            <w:pPr>
              <w:pStyle w:val="Heading2"/>
              <w:spacing w:line="240" w:lineRule="auto"/>
              <w:ind w:right="29"/>
              <w:jc w:val="center"/>
              <w:rPr>
                <w:b/>
              </w:rPr>
            </w:pPr>
            <w:r>
              <w:rPr>
                <w:b/>
              </w:rPr>
              <w:t>2 Y</w:t>
            </w:r>
            <w:r w:rsidR="00301073">
              <w:rPr>
                <w:b/>
              </w:rPr>
              <w:t>ea</w:t>
            </w:r>
            <w:r>
              <w:rPr>
                <w:b/>
              </w:rPr>
              <w:t>rs</w:t>
            </w:r>
            <w:r w:rsidR="002C15B3">
              <w:rPr>
                <w:b/>
              </w:rPr>
              <w:t xml:space="preserve"> </w:t>
            </w:r>
            <w:r w:rsidR="00301073">
              <w:rPr>
                <w:b/>
              </w:rPr>
              <w:t>3 Months</w:t>
            </w:r>
          </w:p>
          <w:p w:rsidR="00C4651A" w:rsidRPr="00C4651A" w:rsidRDefault="00D179B0" w:rsidP="00BC6A4C">
            <w:pPr>
              <w:pStyle w:val="Heading2"/>
              <w:spacing w:line="240" w:lineRule="auto"/>
              <w:ind w:right="29"/>
              <w:jc w:val="center"/>
              <w:rPr>
                <w:b/>
              </w:rPr>
            </w:pPr>
            <w:r>
              <w:rPr>
                <w:b/>
              </w:rPr>
              <w:t xml:space="preserve">( </w:t>
            </w:r>
            <w:r w:rsidR="003843F6">
              <w:rPr>
                <w:b/>
              </w:rPr>
              <w:t>June</w:t>
            </w:r>
            <w:r w:rsidR="00B942EF">
              <w:rPr>
                <w:b/>
              </w:rPr>
              <w:t xml:space="preserve"> ‘0</w:t>
            </w:r>
            <w:r>
              <w:rPr>
                <w:b/>
              </w:rPr>
              <w:t>8</w:t>
            </w:r>
            <w:r w:rsidR="00BC6A4C">
              <w:rPr>
                <w:b/>
              </w:rPr>
              <w:t>- Sep ‘10</w:t>
            </w:r>
            <w:r>
              <w:rPr>
                <w:b/>
              </w:rPr>
              <w:t>)</w:t>
            </w:r>
          </w:p>
        </w:tc>
      </w:tr>
      <w:tr w:rsidR="00B942EF" w:rsidTr="00A57D68">
        <w:tblPrEx>
          <w:shd w:val="clear" w:color="auto" w:fill="F3F3F3"/>
        </w:tblPrEx>
        <w:trPr>
          <w:cantSplit/>
          <w:trHeight w:val="330"/>
        </w:trPr>
        <w:tc>
          <w:tcPr>
            <w:tcW w:w="2520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E0E0E0"/>
            <w:vAlign w:val="center"/>
          </w:tcPr>
          <w:p w:rsidR="00B942EF" w:rsidRPr="00F60561" w:rsidRDefault="00B942EF" w:rsidP="00026E78">
            <w:pPr>
              <w:spacing w:before="60" w:after="60" w:line="20" w:lineRule="atLeast"/>
              <w:ind w:right="29"/>
              <w:jc w:val="center"/>
              <w:rPr>
                <w:rFonts w:ascii="Palatino Linotype" w:hAnsi="Palatino Linotype"/>
                <w:b/>
                <w:sz w:val="19"/>
                <w:szCs w:val="19"/>
              </w:rPr>
            </w:pPr>
            <w:r w:rsidRPr="00F60561">
              <w:rPr>
                <w:rFonts w:ascii="Palatino Linotype" w:hAnsi="Palatino Linotype"/>
                <w:b/>
                <w:sz w:val="19"/>
                <w:szCs w:val="19"/>
              </w:rPr>
              <w:t>Roles &amp; Responsibilities</w:t>
            </w:r>
          </w:p>
        </w:tc>
        <w:tc>
          <w:tcPr>
            <w:tcW w:w="7935" w:type="dxa"/>
            <w:gridSpan w:val="3"/>
            <w:tcBorders>
              <w:top w:val="single" w:sz="6" w:space="0" w:color="FFFFFF"/>
              <w:left w:val="single" w:sz="6" w:space="0" w:color="FFFFFF"/>
              <w:bottom w:val="dashSmallGap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B942EF" w:rsidRPr="00F60561" w:rsidRDefault="00B942EF" w:rsidP="00026E78">
            <w:pPr>
              <w:spacing w:before="60" w:after="60"/>
              <w:ind w:right="29"/>
              <w:jc w:val="both"/>
              <w:rPr>
                <w:rFonts w:ascii="Palatino Linotype" w:hAnsi="Palatino Linotype"/>
                <w:b/>
                <w:sz w:val="19"/>
                <w:szCs w:val="19"/>
              </w:rPr>
            </w:pPr>
            <w:r w:rsidRPr="00F60561">
              <w:rPr>
                <w:rFonts w:ascii="Palatino Linotype" w:hAnsi="Palatino Linotype"/>
                <w:b/>
                <w:sz w:val="19"/>
                <w:szCs w:val="19"/>
              </w:rPr>
              <w:t>ABOUT THE ASSIGNMENT</w:t>
            </w:r>
          </w:p>
        </w:tc>
      </w:tr>
      <w:tr w:rsidR="0092386A" w:rsidTr="00A57D68">
        <w:tblPrEx>
          <w:shd w:val="clear" w:color="auto" w:fill="F3F3F3"/>
        </w:tblPrEx>
        <w:trPr>
          <w:cantSplit/>
          <w:trHeight w:val="33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dashSmallGap" w:sz="4" w:space="0" w:color="auto"/>
            </w:tcBorders>
            <w:shd w:val="clear" w:color="auto" w:fill="E0E0E0"/>
            <w:vAlign w:val="center"/>
          </w:tcPr>
          <w:p w:rsidR="0092386A" w:rsidRPr="005A468A" w:rsidRDefault="00F05878" w:rsidP="006648A7">
            <w:pPr>
              <w:spacing w:before="60" w:after="60" w:line="20" w:lineRule="atLeast"/>
              <w:ind w:right="29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5A468A">
              <w:rPr>
                <w:rFonts w:ascii="Palatino Linotype" w:hAnsi="Palatino Linotype"/>
                <w:b/>
                <w:sz w:val="20"/>
                <w:szCs w:val="20"/>
              </w:rPr>
              <w:t>IFRS Convergence</w:t>
            </w:r>
          </w:p>
        </w:tc>
        <w:tc>
          <w:tcPr>
            <w:tcW w:w="7935" w:type="dxa"/>
            <w:gridSpan w:val="3"/>
            <w:tcBorders>
              <w:top w:val="dashSmallGap" w:sz="4" w:space="0" w:color="auto"/>
              <w:left w:val="dashSmallGap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auto"/>
          </w:tcPr>
          <w:p w:rsidR="005C1DFB" w:rsidRDefault="005C1DFB" w:rsidP="00F05878">
            <w:pPr>
              <w:rPr>
                <w:rFonts w:ascii="Palatino Linotype" w:hAnsi="Palatino Linotype"/>
                <w:sz w:val="19"/>
                <w:szCs w:val="19"/>
              </w:rPr>
            </w:pPr>
          </w:p>
          <w:p w:rsidR="0092386A" w:rsidRPr="005A468A" w:rsidRDefault="00F05878" w:rsidP="00F05878">
            <w:pPr>
              <w:rPr>
                <w:rFonts w:ascii="Palatino Linotype" w:hAnsi="Palatino Linotype"/>
                <w:sz w:val="20"/>
                <w:szCs w:val="20"/>
              </w:rPr>
            </w:pPr>
            <w:r w:rsidRPr="005A468A">
              <w:rPr>
                <w:rFonts w:ascii="Palatino Linotype" w:hAnsi="Palatino Linotype"/>
                <w:sz w:val="20"/>
                <w:szCs w:val="20"/>
              </w:rPr>
              <w:t>Worked on Conversion of Indian GAAP Financials to IFRS.</w:t>
            </w:r>
          </w:p>
          <w:p w:rsidR="00F05878" w:rsidRPr="005A468A" w:rsidRDefault="00F05878" w:rsidP="00F05878">
            <w:pPr>
              <w:rPr>
                <w:rFonts w:ascii="Palatino Linotype" w:hAnsi="Palatino Linotype"/>
                <w:sz w:val="20"/>
                <w:szCs w:val="20"/>
              </w:rPr>
            </w:pPr>
          </w:p>
          <w:p w:rsidR="00F05878" w:rsidRPr="005A468A" w:rsidRDefault="00F05878" w:rsidP="00F05878">
            <w:pPr>
              <w:rPr>
                <w:rFonts w:ascii="Palatino Linotype" w:hAnsi="Palatino Linotype"/>
                <w:b/>
                <w:sz w:val="20"/>
                <w:szCs w:val="20"/>
                <w:u w:val="single"/>
              </w:rPr>
            </w:pPr>
            <w:r w:rsidRPr="005A468A">
              <w:rPr>
                <w:rFonts w:ascii="Palatino Linotype" w:hAnsi="Palatino Linotype"/>
                <w:b/>
                <w:sz w:val="20"/>
                <w:szCs w:val="20"/>
                <w:u w:val="single"/>
              </w:rPr>
              <w:t>Key Responsibilities:</w:t>
            </w:r>
          </w:p>
          <w:p w:rsidR="00F05878" w:rsidRPr="005A468A" w:rsidRDefault="00F05878" w:rsidP="00F05878">
            <w:pPr>
              <w:rPr>
                <w:rFonts w:ascii="Palatino Linotype" w:hAnsi="Palatino Linotype"/>
                <w:b/>
                <w:sz w:val="20"/>
                <w:szCs w:val="20"/>
                <w:u w:val="single"/>
              </w:rPr>
            </w:pPr>
          </w:p>
          <w:p w:rsidR="00F05878" w:rsidRPr="005A468A" w:rsidRDefault="00F05878" w:rsidP="00D33FA2">
            <w:pPr>
              <w:numPr>
                <w:ilvl w:val="0"/>
                <w:numId w:val="6"/>
              </w:num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>Recasting the  Balance Sheet and Profit &amp; Loss Account</w:t>
            </w: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ab/>
            </w:r>
          </w:p>
          <w:p w:rsidR="00F05878" w:rsidRPr="005A468A" w:rsidRDefault="00F05878" w:rsidP="00D33FA2">
            <w:pPr>
              <w:numPr>
                <w:ilvl w:val="0"/>
                <w:numId w:val="6"/>
              </w:num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>Preparing of Cash Flow taking into consideration the adjustments for IFRS.</w:t>
            </w:r>
          </w:p>
          <w:p w:rsidR="00F05878" w:rsidRPr="005A468A" w:rsidRDefault="00F05878" w:rsidP="00D33FA2">
            <w:pPr>
              <w:numPr>
                <w:ilvl w:val="0"/>
                <w:numId w:val="6"/>
              </w:num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>Preparation of Statement of Changes in Equity (SOCIE) that gives a clear idea as to the changes that has taken place in the Stake holder’s Equity in a given Financial Year.</w:t>
            </w:r>
          </w:p>
          <w:p w:rsidR="00F05878" w:rsidRPr="005A468A" w:rsidRDefault="00F05878" w:rsidP="00D33FA2">
            <w:pPr>
              <w:numPr>
                <w:ilvl w:val="0"/>
                <w:numId w:val="6"/>
              </w:num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>Accounting Mark to Market (MTM) with respect to Derivative Financial Instruments like Forward Contracts, Swaps and Options.</w:t>
            </w:r>
          </w:p>
          <w:p w:rsidR="00F05878" w:rsidRPr="005A468A" w:rsidRDefault="00F05878" w:rsidP="00D33FA2">
            <w:pPr>
              <w:numPr>
                <w:ilvl w:val="0"/>
                <w:numId w:val="6"/>
              </w:num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>Aging of Secured and Unsecured Loans.</w:t>
            </w:r>
          </w:p>
          <w:p w:rsidR="00F05878" w:rsidRPr="005A468A" w:rsidRDefault="00F05878" w:rsidP="00D33FA2">
            <w:pPr>
              <w:numPr>
                <w:ilvl w:val="0"/>
                <w:numId w:val="6"/>
              </w:num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>Decapitalisation of Foreign Exchange Difference arising on Fixed Assets.</w:t>
            </w:r>
          </w:p>
          <w:p w:rsidR="00F05878" w:rsidRPr="005A468A" w:rsidRDefault="00F05878" w:rsidP="00D33FA2">
            <w:pPr>
              <w:numPr>
                <w:ilvl w:val="0"/>
                <w:numId w:val="6"/>
              </w:num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>Accounting of Quoted Investments on MTM Basis..</w:t>
            </w:r>
          </w:p>
          <w:p w:rsidR="00F05878" w:rsidRPr="005A468A" w:rsidRDefault="00F05878" w:rsidP="00D33FA2">
            <w:pPr>
              <w:numPr>
                <w:ilvl w:val="0"/>
                <w:numId w:val="6"/>
              </w:num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>Computation of Fair Value of Secured and Unsecured Loans using the Weighted Average Capialisation Rate.</w:t>
            </w:r>
          </w:p>
          <w:p w:rsidR="00F05878" w:rsidRPr="005A468A" w:rsidRDefault="00F05878" w:rsidP="00D33FA2">
            <w:pPr>
              <w:numPr>
                <w:ilvl w:val="0"/>
                <w:numId w:val="6"/>
              </w:num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 xml:space="preserve">Accounting of Foreign Currency Convertible Bonds (FCCBs) on MTM basis </w:t>
            </w:r>
          </w:p>
          <w:p w:rsidR="00F05878" w:rsidRPr="005A468A" w:rsidRDefault="00F05878" w:rsidP="00D33FA2">
            <w:pPr>
              <w:numPr>
                <w:ilvl w:val="0"/>
                <w:numId w:val="6"/>
              </w:num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>To Compute Goodwill arising on Business Combinations, on Fair</w:t>
            </w:r>
            <w:r w:rsidR="009E56D1"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 xml:space="preserve"> </w:t>
            </w: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>value Basis.</w:t>
            </w:r>
          </w:p>
          <w:p w:rsidR="00F05878" w:rsidRPr="005A468A" w:rsidRDefault="00F05878" w:rsidP="00D33FA2">
            <w:pPr>
              <w:numPr>
                <w:ilvl w:val="0"/>
                <w:numId w:val="6"/>
              </w:numPr>
              <w:rPr>
                <w:rFonts w:ascii="Palatino Linotype" w:hAnsi="Palatino Linotype" w:cs="Arial"/>
                <w:bCs/>
                <w:sz w:val="20"/>
                <w:szCs w:val="20"/>
              </w:rPr>
            </w:pPr>
            <w:r w:rsidRPr="005A468A">
              <w:rPr>
                <w:rFonts w:ascii="Palatino Linotype" w:hAnsi="Palatino Linotype" w:cs="Arial"/>
                <w:bCs/>
                <w:sz w:val="20"/>
                <w:szCs w:val="20"/>
              </w:rPr>
              <w:t>Preparation of Notes to Accounts for the IFRS Financials.</w:t>
            </w:r>
          </w:p>
          <w:p w:rsidR="00F05878" w:rsidRPr="005A468A" w:rsidRDefault="00F05878" w:rsidP="00F05878">
            <w:pPr>
              <w:rPr>
                <w:rFonts w:ascii="Palatino Linotype" w:hAnsi="Palatino Linotype" w:cs="Arial"/>
                <w:sz w:val="20"/>
                <w:szCs w:val="20"/>
              </w:rPr>
            </w:pPr>
          </w:p>
          <w:p w:rsidR="00F05878" w:rsidRPr="00F60561" w:rsidRDefault="00F05878" w:rsidP="00F05878">
            <w:pPr>
              <w:rPr>
                <w:rFonts w:ascii="Palatino Linotype" w:hAnsi="Palatino Linotype"/>
                <w:sz w:val="19"/>
                <w:szCs w:val="19"/>
              </w:rPr>
            </w:pPr>
          </w:p>
        </w:tc>
      </w:tr>
    </w:tbl>
    <w:p w:rsidR="00F306D5" w:rsidRDefault="00F306D5" w:rsidP="00F306D5">
      <w:pPr>
        <w:ind w:left="720" w:right="29"/>
        <w:rPr>
          <w:rFonts w:ascii="Palatino Linotype" w:hAnsi="Palatino Linotype" w:cs="Arial"/>
          <w:bCs/>
          <w:sz w:val="20"/>
          <w:szCs w:val="20"/>
        </w:rPr>
      </w:pPr>
    </w:p>
    <w:p w:rsidR="00F306D5" w:rsidRDefault="00F306D5" w:rsidP="005C3D8E">
      <w:pPr>
        <w:rPr>
          <w:rFonts w:ascii="Palatino Linotype" w:hAnsi="Palatino Linotype"/>
          <w:sz w:val="19"/>
          <w:szCs w:val="19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 w:rsidR="00616AD8" w:rsidRPr="0056285E" w:rsidTr="00065AB3">
        <w:trPr>
          <w:trHeight w:val="322"/>
        </w:trPr>
        <w:tc>
          <w:tcPr>
            <w:tcW w:w="10512" w:type="dxa"/>
            <w:shd w:val="clear" w:color="auto" w:fill="E0E0E0"/>
          </w:tcPr>
          <w:p w:rsidR="00616AD8" w:rsidRPr="0056285E" w:rsidRDefault="00616AD8" w:rsidP="00616AD8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TRAINING &amp; CERTIFICATIONS</w:t>
            </w:r>
          </w:p>
        </w:tc>
      </w:tr>
    </w:tbl>
    <w:p w:rsidR="00616AD8" w:rsidRPr="002B507D" w:rsidRDefault="00616AD8" w:rsidP="00616AD8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0"/>
          <w:szCs w:val="20"/>
        </w:rPr>
      </w:pPr>
    </w:p>
    <w:p w:rsidR="00065AB3" w:rsidRPr="00A264EE" w:rsidRDefault="009E56D1" w:rsidP="00D33FA2">
      <w:pPr>
        <w:numPr>
          <w:ilvl w:val="0"/>
          <w:numId w:val="5"/>
        </w:numPr>
        <w:spacing w:before="40" w:after="40"/>
        <w:jc w:val="both"/>
        <w:rPr>
          <w:rFonts w:ascii="Palatino Linotype" w:hAnsi="Palatino Linotype"/>
          <w:sz w:val="20"/>
          <w:szCs w:val="20"/>
        </w:rPr>
      </w:pPr>
      <w:r w:rsidRPr="00A264EE">
        <w:rPr>
          <w:rFonts w:ascii="Palatino Linotype" w:hAnsi="Palatino Linotype"/>
          <w:sz w:val="20"/>
          <w:szCs w:val="20"/>
          <w:lang w:val="en-GB"/>
        </w:rPr>
        <w:t>SAP BPC in-house training</w:t>
      </w:r>
      <w:r w:rsidR="00065AB3" w:rsidRPr="00A264EE">
        <w:rPr>
          <w:rFonts w:ascii="Palatino Linotype" w:hAnsi="Palatino Linotype"/>
          <w:sz w:val="20"/>
          <w:szCs w:val="20"/>
          <w:lang w:val="en-GB"/>
        </w:rPr>
        <w:t xml:space="preserve"> conducted by PwC, Mumbai.</w:t>
      </w:r>
    </w:p>
    <w:p w:rsidR="00F306D5" w:rsidRPr="00A264EE" w:rsidRDefault="00F306D5" w:rsidP="00616AD8">
      <w:pPr>
        <w:spacing w:before="40" w:after="40"/>
        <w:ind w:left="720"/>
        <w:jc w:val="both"/>
        <w:rPr>
          <w:rFonts w:ascii="Palatino Linotype" w:hAnsi="Palatino Linotype"/>
          <w:sz w:val="20"/>
          <w:szCs w:val="20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 w:rsidR="00BA6336" w:rsidRPr="0056285E" w:rsidTr="006271FD">
        <w:trPr>
          <w:trHeight w:val="322"/>
        </w:trPr>
        <w:tc>
          <w:tcPr>
            <w:tcW w:w="10512" w:type="dxa"/>
            <w:shd w:val="clear" w:color="auto" w:fill="E0E0E0"/>
          </w:tcPr>
          <w:p w:rsidR="00BA6336" w:rsidRPr="0056285E" w:rsidRDefault="00BA6336" w:rsidP="00BA6336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PROFESSIONAL QUALIFICATION</w:t>
            </w:r>
          </w:p>
        </w:tc>
      </w:tr>
    </w:tbl>
    <w:p w:rsidR="00BA6336" w:rsidRDefault="00BA6336" w:rsidP="005C3D8E">
      <w:pPr>
        <w:rPr>
          <w:rFonts w:ascii="Palatino Linotype" w:hAnsi="Palatino Linotype"/>
          <w:sz w:val="8"/>
          <w:szCs w:val="20"/>
        </w:rPr>
      </w:pPr>
    </w:p>
    <w:tbl>
      <w:tblPr>
        <w:tblW w:w="4928" w:type="pct"/>
        <w:jc w:val="center"/>
        <w:tblCellSpacing w:w="20" w:type="dxa"/>
        <w:tblInd w:w="234" w:type="dxa"/>
        <w:tblCellMar>
          <w:left w:w="115" w:type="dxa"/>
          <w:right w:w="115" w:type="dxa"/>
        </w:tblCellMar>
        <w:tblLook w:val="00BF"/>
      </w:tblPr>
      <w:tblGrid>
        <w:gridCol w:w="2357"/>
        <w:gridCol w:w="6628"/>
        <w:gridCol w:w="1468"/>
      </w:tblGrid>
      <w:tr w:rsidR="00FE1347" w:rsidTr="00C14953">
        <w:trPr>
          <w:trHeight w:val="360"/>
          <w:tblCellSpacing w:w="20" w:type="dxa"/>
          <w:jc w:val="center"/>
        </w:trPr>
        <w:tc>
          <w:tcPr>
            <w:tcW w:w="1099" w:type="pct"/>
          </w:tcPr>
          <w:p w:rsidR="00FE1347" w:rsidRDefault="00FE1347" w:rsidP="00793E5C">
            <w:pPr>
              <w:ind w:right="29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151" w:type="pct"/>
          </w:tcPr>
          <w:p w:rsidR="00FE1347" w:rsidRDefault="00FE1347" w:rsidP="00793E5C">
            <w:pPr>
              <w:ind w:right="29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College/ University</w:t>
            </w:r>
          </w:p>
        </w:tc>
        <w:tc>
          <w:tcPr>
            <w:tcW w:w="673" w:type="pct"/>
          </w:tcPr>
          <w:p w:rsidR="00FE1347" w:rsidRDefault="00FE1347" w:rsidP="00793E5C">
            <w:pPr>
              <w:ind w:right="29"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Year</w:t>
            </w:r>
          </w:p>
        </w:tc>
      </w:tr>
      <w:tr w:rsidR="00FE1347" w:rsidTr="00C14953">
        <w:trPr>
          <w:trHeight w:val="360"/>
          <w:tblCellSpacing w:w="20" w:type="dxa"/>
          <w:jc w:val="center"/>
        </w:trPr>
        <w:tc>
          <w:tcPr>
            <w:tcW w:w="1099" w:type="pct"/>
          </w:tcPr>
          <w:p w:rsidR="00FE1347" w:rsidRDefault="00F05878" w:rsidP="00793E5C">
            <w:pPr>
              <w:spacing w:after="60"/>
              <w:ind w:right="29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CA</w:t>
            </w:r>
          </w:p>
        </w:tc>
        <w:tc>
          <w:tcPr>
            <w:tcW w:w="3151" w:type="pct"/>
          </w:tcPr>
          <w:p w:rsidR="00FE1347" w:rsidRDefault="00F05878" w:rsidP="00793E5C">
            <w:pPr>
              <w:spacing w:after="60"/>
              <w:ind w:right="29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ACCA, U.K.</w:t>
            </w:r>
          </w:p>
        </w:tc>
        <w:tc>
          <w:tcPr>
            <w:tcW w:w="673" w:type="pct"/>
          </w:tcPr>
          <w:p w:rsidR="00FE1347" w:rsidRDefault="00FE1347" w:rsidP="00793E5C">
            <w:pPr>
              <w:spacing w:after="60"/>
              <w:ind w:right="29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2008</w:t>
            </w:r>
          </w:p>
        </w:tc>
      </w:tr>
      <w:tr w:rsidR="00FE1347" w:rsidTr="00C14953">
        <w:trPr>
          <w:trHeight w:val="255"/>
          <w:tblCellSpacing w:w="20" w:type="dxa"/>
          <w:jc w:val="center"/>
        </w:trPr>
        <w:tc>
          <w:tcPr>
            <w:tcW w:w="1099" w:type="pct"/>
          </w:tcPr>
          <w:p w:rsidR="00FE1347" w:rsidRDefault="00F05878" w:rsidP="00793E5C">
            <w:pPr>
              <w:spacing w:after="60"/>
              <w:ind w:left="64" w:right="29" w:hanging="6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BBA</w:t>
            </w:r>
          </w:p>
        </w:tc>
        <w:tc>
          <w:tcPr>
            <w:tcW w:w="3151" w:type="pct"/>
          </w:tcPr>
          <w:p w:rsidR="00FE1347" w:rsidRDefault="00F05878" w:rsidP="005C1DFB">
            <w:pPr>
              <w:spacing w:after="60"/>
              <w:ind w:left="720" w:right="29" w:hanging="72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K.S.</w:t>
            </w:r>
            <w:r w:rsidR="005C1DFB">
              <w:rPr>
                <w:rFonts w:ascii="Palatino Linotype" w:hAnsi="Palatino Linotype"/>
                <w:sz w:val="20"/>
                <w:szCs w:val="20"/>
              </w:rPr>
              <w:t>School of Business Management</w:t>
            </w:r>
            <w:r>
              <w:rPr>
                <w:rFonts w:ascii="Palatino Linotype" w:hAnsi="Palatino Linotype"/>
                <w:sz w:val="20"/>
                <w:szCs w:val="20"/>
              </w:rPr>
              <w:t>,</w:t>
            </w:r>
            <w:r w:rsidR="00FE1347">
              <w:rPr>
                <w:rFonts w:ascii="Palatino Linotype" w:hAnsi="Palatino Linotype"/>
                <w:sz w:val="20"/>
                <w:szCs w:val="20"/>
              </w:rPr>
              <w:t xml:space="preserve"> University of </w:t>
            </w:r>
            <w:r>
              <w:rPr>
                <w:rFonts w:ascii="Palatino Linotype" w:hAnsi="Palatino Linotype"/>
                <w:sz w:val="20"/>
                <w:szCs w:val="20"/>
              </w:rPr>
              <w:t>Gujarat</w:t>
            </w:r>
          </w:p>
        </w:tc>
        <w:tc>
          <w:tcPr>
            <w:tcW w:w="673" w:type="pct"/>
          </w:tcPr>
          <w:p w:rsidR="004E35BF" w:rsidRDefault="00F05878" w:rsidP="00DA2699">
            <w:pPr>
              <w:pStyle w:val="Header"/>
              <w:spacing w:after="60" w:line="240" w:lineRule="auto"/>
              <w:ind w:right="29"/>
              <w:jc w:val="center"/>
              <w:rPr>
                <w:rFonts w:ascii="Palatino Linotype" w:hAnsi="Palatino Linotype"/>
                <w:bCs w:val="0"/>
                <w:iCs w:val="0"/>
                <w:sz w:val="20"/>
              </w:rPr>
            </w:pPr>
            <w:r>
              <w:rPr>
                <w:rFonts w:ascii="Palatino Linotype" w:hAnsi="Palatino Linotype"/>
                <w:bCs w:val="0"/>
                <w:iCs w:val="0"/>
                <w:sz w:val="20"/>
              </w:rPr>
              <w:t>2003</w:t>
            </w:r>
          </w:p>
        </w:tc>
      </w:tr>
    </w:tbl>
    <w:p w:rsidR="00E80DF8" w:rsidRDefault="00E80DF8" w:rsidP="00E80DF8">
      <w:pPr>
        <w:ind w:left="720" w:right="29"/>
        <w:rPr>
          <w:rFonts w:ascii="Palatino Linotype" w:hAnsi="Palatino Linotype" w:cs="Arial"/>
          <w:bCs/>
          <w:sz w:val="20"/>
          <w:szCs w:val="20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 w:rsidR="00CC63C4" w:rsidRPr="0056285E" w:rsidTr="0056285E">
        <w:trPr>
          <w:trHeight w:val="322"/>
        </w:trPr>
        <w:tc>
          <w:tcPr>
            <w:tcW w:w="10512" w:type="dxa"/>
            <w:shd w:val="clear" w:color="auto" w:fill="E0E0E0"/>
          </w:tcPr>
          <w:p w:rsidR="00CC63C4" w:rsidRPr="0056285E" w:rsidRDefault="00CC63C4" w:rsidP="00D91C84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56285E">
              <w:rPr>
                <w:rFonts w:ascii="Palatino Linotype" w:hAnsi="Palatino Linotype"/>
                <w:b/>
                <w:sz w:val="20"/>
                <w:szCs w:val="20"/>
              </w:rPr>
              <w:t>KEY STRENGTHS</w:t>
            </w:r>
          </w:p>
        </w:tc>
      </w:tr>
    </w:tbl>
    <w:p w:rsidR="00CC63C4" w:rsidRPr="002B507D" w:rsidRDefault="00CC63C4" w:rsidP="00CC63C4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0"/>
          <w:szCs w:val="20"/>
        </w:rPr>
      </w:pPr>
    </w:p>
    <w:p w:rsidR="00CC63C4" w:rsidRDefault="00CC63C4" w:rsidP="00D33FA2">
      <w:pPr>
        <w:numPr>
          <w:ilvl w:val="0"/>
          <w:numId w:val="2"/>
        </w:numPr>
        <w:tabs>
          <w:tab w:val="left" w:pos="2880"/>
        </w:tabs>
        <w:spacing w:before="20"/>
        <w:jc w:val="both"/>
        <w:rPr>
          <w:rFonts w:ascii="Palatino Linotype" w:hAnsi="Palatino Linotype" w:cs="Arial"/>
          <w:sz w:val="20"/>
          <w:szCs w:val="20"/>
        </w:rPr>
      </w:pPr>
      <w:r w:rsidRPr="00652AEA">
        <w:rPr>
          <w:rFonts w:ascii="Palatino Linotype" w:hAnsi="Palatino Linotype" w:cs="Arial"/>
          <w:sz w:val="20"/>
          <w:szCs w:val="20"/>
        </w:rPr>
        <w:t xml:space="preserve">Fast paced thinking, an innovative mind and a solutions based approach, with an ability to conceptualize projects and develop growth avenues to yield higher profits for the Organization </w:t>
      </w:r>
    </w:p>
    <w:p w:rsidR="00CC63C4" w:rsidRPr="00BB4589" w:rsidRDefault="00CC63C4" w:rsidP="00D33FA2">
      <w:pPr>
        <w:numPr>
          <w:ilvl w:val="0"/>
          <w:numId w:val="2"/>
        </w:numPr>
        <w:tabs>
          <w:tab w:val="left" w:pos="2880"/>
        </w:tabs>
        <w:spacing w:before="20"/>
        <w:jc w:val="both"/>
        <w:rPr>
          <w:rFonts w:ascii="Palatino Linotype" w:hAnsi="Palatino Linotype" w:cs="Arial"/>
          <w:sz w:val="20"/>
          <w:szCs w:val="20"/>
        </w:rPr>
      </w:pPr>
      <w:r w:rsidRPr="00652AEA">
        <w:rPr>
          <w:rFonts w:ascii="Palatino Linotype" w:hAnsi="Palatino Linotype" w:cs="Arial"/>
          <w:sz w:val="20"/>
          <w:szCs w:val="20"/>
        </w:rPr>
        <w:t>Ability to understand business requirements and convert them into system functions/ achievable goals and drive it as a single objective towards growth within restricted budgets, minimal resources &amp; short durations</w:t>
      </w:r>
      <w:r>
        <w:rPr>
          <w:rFonts w:ascii="Palatino Linotype" w:hAnsi="Palatino Linotype" w:cs="Arial"/>
          <w:sz w:val="20"/>
          <w:szCs w:val="20"/>
        </w:rPr>
        <w:t xml:space="preserve"> </w:t>
      </w:r>
    </w:p>
    <w:p w:rsidR="00CC63C4" w:rsidRDefault="00CC63C4" w:rsidP="00D33FA2">
      <w:pPr>
        <w:numPr>
          <w:ilvl w:val="0"/>
          <w:numId w:val="2"/>
        </w:numPr>
        <w:tabs>
          <w:tab w:val="left" w:pos="2880"/>
        </w:tabs>
        <w:spacing w:before="20"/>
        <w:jc w:val="both"/>
        <w:rPr>
          <w:rFonts w:ascii="Palatino Linotype" w:hAnsi="Palatino Linotype" w:cs="Arial"/>
          <w:sz w:val="20"/>
          <w:szCs w:val="20"/>
        </w:rPr>
      </w:pPr>
      <w:r w:rsidRPr="00652AEA">
        <w:rPr>
          <w:rFonts w:ascii="Palatino Linotype" w:hAnsi="Palatino Linotype" w:cs="Arial"/>
          <w:sz w:val="20"/>
          <w:szCs w:val="20"/>
        </w:rPr>
        <w:t xml:space="preserve">Strengthening of Operational mechanisms to remove system flaws as well as build roadmaps with close knit tracking to deliver higher productivity for operational excellence </w:t>
      </w:r>
    </w:p>
    <w:p w:rsidR="00CC63C4" w:rsidRPr="00075A1B" w:rsidRDefault="00CC63C4" w:rsidP="00D33FA2">
      <w:pPr>
        <w:numPr>
          <w:ilvl w:val="0"/>
          <w:numId w:val="2"/>
        </w:numPr>
        <w:tabs>
          <w:tab w:val="left" w:pos="2880"/>
        </w:tabs>
        <w:spacing w:before="20"/>
        <w:jc w:val="both"/>
        <w:rPr>
          <w:rFonts w:ascii="Palatino Linotype" w:hAnsi="Palatino Linotype" w:cs="Arial"/>
          <w:bCs/>
          <w:sz w:val="12"/>
          <w:szCs w:val="18"/>
        </w:rPr>
      </w:pPr>
      <w:r w:rsidRPr="00652AEA">
        <w:rPr>
          <w:rFonts w:ascii="Palatino Linotype" w:hAnsi="Palatino Linotype" w:cs="Arial"/>
          <w:sz w:val="20"/>
          <w:szCs w:val="20"/>
        </w:rPr>
        <w:t xml:space="preserve">Ability to maintain a composed mind and deliver stretched targets under pressure </w:t>
      </w:r>
    </w:p>
    <w:p w:rsidR="00075A1B" w:rsidRPr="00075A1B" w:rsidRDefault="00A52195" w:rsidP="00D33FA2">
      <w:pPr>
        <w:numPr>
          <w:ilvl w:val="0"/>
          <w:numId w:val="2"/>
        </w:numPr>
        <w:tabs>
          <w:tab w:val="left" w:pos="2880"/>
        </w:tabs>
        <w:spacing w:before="20"/>
        <w:jc w:val="both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  <w:lang w:val="en-GB"/>
        </w:rPr>
        <w:t>H</w:t>
      </w:r>
      <w:r w:rsidR="00075A1B" w:rsidRPr="00075A1B">
        <w:rPr>
          <w:rFonts w:ascii="Palatino Linotype" w:hAnsi="Palatino Linotype" w:cs="Arial"/>
          <w:bCs/>
          <w:sz w:val="20"/>
          <w:szCs w:val="20"/>
          <w:lang w:val="en-GB"/>
        </w:rPr>
        <w:t>ighly developed social skills, ability to work in team</w:t>
      </w:r>
      <w:r>
        <w:rPr>
          <w:rFonts w:ascii="Palatino Linotype" w:hAnsi="Palatino Linotype" w:cs="Arial"/>
          <w:bCs/>
          <w:sz w:val="20"/>
          <w:szCs w:val="20"/>
          <w:lang w:val="en-GB"/>
        </w:rPr>
        <w:t>s</w:t>
      </w:r>
      <w:r w:rsidR="00075A1B" w:rsidRPr="00075A1B">
        <w:rPr>
          <w:rFonts w:ascii="Palatino Linotype" w:hAnsi="Palatino Linotype" w:cs="Arial"/>
          <w:bCs/>
          <w:sz w:val="20"/>
          <w:szCs w:val="20"/>
          <w:lang w:val="en-GB"/>
        </w:rPr>
        <w:t xml:space="preserve"> in multi cultural environments; excellent written and oral communication skills; adapt easily to changing environments and continuously seeking to upgrade skills</w:t>
      </w:r>
    </w:p>
    <w:p w:rsidR="001828AA" w:rsidRPr="001828AA" w:rsidRDefault="001828AA" w:rsidP="001828AA">
      <w:pPr>
        <w:tabs>
          <w:tab w:val="left" w:pos="2880"/>
        </w:tabs>
        <w:ind w:left="357"/>
        <w:rPr>
          <w:rFonts w:ascii="Palatino Linotype" w:hAnsi="Palatino Linotype" w:cs="Arial"/>
          <w:bCs/>
          <w:sz w:val="16"/>
          <w:szCs w:val="16"/>
        </w:rPr>
      </w:pPr>
    </w:p>
    <w:sectPr w:rsidR="001828AA" w:rsidRPr="001828AA" w:rsidSect="009D322D">
      <w:headerReference w:type="default" r:id="rId8"/>
      <w:pgSz w:w="11909" w:h="16834" w:code="9"/>
      <w:pgMar w:top="245" w:right="749" w:bottom="288" w:left="864" w:header="432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058" w:rsidRDefault="00344058">
      <w:pPr>
        <w:pStyle w:val="Title"/>
      </w:pPr>
      <w:r>
        <w:separator/>
      </w:r>
    </w:p>
  </w:endnote>
  <w:endnote w:type="continuationSeparator" w:id="0">
    <w:p w:rsidR="00344058" w:rsidRDefault="00344058">
      <w:pPr>
        <w:pStyle w:val="Titl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058" w:rsidRDefault="00344058">
      <w:pPr>
        <w:pStyle w:val="Title"/>
      </w:pPr>
      <w:r>
        <w:separator/>
      </w:r>
    </w:p>
  </w:footnote>
  <w:footnote w:type="continuationSeparator" w:id="0">
    <w:p w:rsidR="00344058" w:rsidRDefault="00344058">
      <w:pPr>
        <w:pStyle w:val="Titl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5C" w:rsidRDefault="00793E5C">
    <w:pPr>
      <w:pStyle w:val="Header"/>
      <w:jc w:val="right"/>
      <w:rPr>
        <w:rFonts w:cs="Arial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2FAD"/>
    <w:multiLevelType w:val="hybridMultilevel"/>
    <w:tmpl w:val="60B8F1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C852AF"/>
    <w:multiLevelType w:val="hybridMultilevel"/>
    <w:tmpl w:val="925EB034"/>
    <w:lvl w:ilvl="0" w:tplc="7ECE0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8F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8EEA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6BE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B6AB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C0C4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CFE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105A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E61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40B42"/>
    <w:multiLevelType w:val="hybridMultilevel"/>
    <w:tmpl w:val="24F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D7BD5"/>
    <w:multiLevelType w:val="hybridMultilevel"/>
    <w:tmpl w:val="D99CE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6220E"/>
    <w:multiLevelType w:val="hybridMultilevel"/>
    <w:tmpl w:val="8C0289EA"/>
    <w:lvl w:ilvl="0" w:tplc="A59A8DE0">
      <w:start w:val="1"/>
      <w:numFmt w:val="decimal"/>
      <w:pStyle w:val="MainHeading"/>
      <w:lvlText w:val="%1."/>
      <w:lvlJc w:val="left"/>
      <w:pPr>
        <w:tabs>
          <w:tab w:val="num" w:pos="360"/>
        </w:tabs>
        <w:ind w:left="360" w:hanging="360"/>
      </w:pPr>
    </w:lvl>
    <w:lvl w:ilvl="1" w:tplc="3FD2A93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C20EFA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0A06C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F89B4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D52F58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06244E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2A0364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D9C990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2D78C9"/>
    <w:multiLevelType w:val="hybridMultilevel"/>
    <w:tmpl w:val="CB8AFD8A"/>
    <w:lvl w:ilvl="0" w:tplc="2C1699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EF1A45FC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3B30F7A6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1ED2B912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8912DF5C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4C00F698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B5EA510C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9270506C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8FD443B6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6">
    <w:nsid w:val="5E9826FF"/>
    <w:multiLevelType w:val="hybridMultilevel"/>
    <w:tmpl w:val="89422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4A6C5A"/>
    <w:multiLevelType w:val="hybridMultilevel"/>
    <w:tmpl w:val="879E5D34"/>
    <w:lvl w:ilvl="0" w:tplc="2DC8A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efaultTableStyle w:val="Normal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7DBE"/>
    <w:rsid w:val="00006331"/>
    <w:rsid w:val="00026E78"/>
    <w:rsid w:val="0003277D"/>
    <w:rsid w:val="0003702A"/>
    <w:rsid w:val="00045C18"/>
    <w:rsid w:val="00052543"/>
    <w:rsid w:val="00065AB3"/>
    <w:rsid w:val="00075A1B"/>
    <w:rsid w:val="00080557"/>
    <w:rsid w:val="0008701D"/>
    <w:rsid w:val="00091B26"/>
    <w:rsid w:val="000A1D3F"/>
    <w:rsid w:val="000A333D"/>
    <w:rsid w:val="000A6D48"/>
    <w:rsid w:val="000B1D5D"/>
    <w:rsid w:val="000D15F8"/>
    <w:rsid w:val="00101022"/>
    <w:rsid w:val="00107460"/>
    <w:rsid w:val="00113BC1"/>
    <w:rsid w:val="00121C2F"/>
    <w:rsid w:val="00122CD7"/>
    <w:rsid w:val="001312DD"/>
    <w:rsid w:val="00140A3D"/>
    <w:rsid w:val="0014205A"/>
    <w:rsid w:val="00145E2D"/>
    <w:rsid w:val="001620F4"/>
    <w:rsid w:val="00172B12"/>
    <w:rsid w:val="00176849"/>
    <w:rsid w:val="001828AA"/>
    <w:rsid w:val="0018451F"/>
    <w:rsid w:val="00192A2A"/>
    <w:rsid w:val="0019729E"/>
    <w:rsid w:val="001A6633"/>
    <w:rsid w:val="001A72FD"/>
    <w:rsid w:val="001B27F3"/>
    <w:rsid w:val="001B7088"/>
    <w:rsid w:val="001E4E97"/>
    <w:rsid w:val="001F2FC9"/>
    <w:rsid w:val="001F413B"/>
    <w:rsid w:val="0020073E"/>
    <w:rsid w:val="002216C2"/>
    <w:rsid w:val="002279F0"/>
    <w:rsid w:val="00234C4D"/>
    <w:rsid w:val="00242A1B"/>
    <w:rsid w:val="0024327D"/>
    <w:rsid w:val="00255701"/>
    <w:rsid w:val="0026463C"/>
    <w:rsid w:val="00264CB6"/>
    <w:rsid w:val="00264FA2"/>
    <w:rsid w:val="00265374"/>
    <w:rsid w:val="00276E1E"/>
    <w:rsid w:val="00283DE4"/>
    <w:rsid w:val="002908A7"/>
    <w:rsid w:val="0029123A"/>
    <w:rsid w:val="00296489"/>
    <w:rsid w:val="00297913"/>
    <w:rsid w:val="002A1CCF"/>
    <w:rsid w:val="002C15B3"/>
    <w:rsid w:val="002C177C"/>
    <w:rsid w:val="002C4A0F"/>
    <w:rsid w:val="002D0A30"/>
    <w:rsid w:val="002D4AC8"/>
    <w:rsid w:val="002F0219"/>
    <w:rsid w:val="002F5322"/>
    <w:rsid w:val="002F5547"/>
    <w:rsid w:val="00301073"/>
    <w:rsid w:val="00316D07"/>
    <w:rsid w:val="00327B90"/>
    <w:rsid w:val="003359A3"/>
    <w:rsid w:val="00344058"/>
    <w:rsid w:val="00345C05"/>
    <w:rsid w:val="003501AE"/>
    <w:rsid w:val="003502B4"/>
    <w:rsid w:val="00357FC3"/>
    <w:rsid w:val="003843F6"/>
    <w:rsid w:val="003903D9"/>
    <w:rsid w:val="00393ADA"/>
    <w:rsid w:val="003B60C4"/>
    <w:rsid w:val="003C7DBE"/>
    <w:rsid w:val="003E11CE"/>
    <w:rsid w:val="003E36CD"/>
    <w:rsid w:val="003F6274"/>
    <w:rsid w:val="00420B96"/>
    <w:rsid w:val="00434F21"/>
    <w:rsid w:val="004358EC"/>
    <w:rsid w:val="00436DD3"/>
    <w:rsid w:val="004510A9"/>
    <w:rsid w:val="00460D85"/>
    <w:rsid w:val="00463F78"/>
    <w:rsid w:val="004669F5"/>
    <w:rsid w:val="004727DA"/>
    <w:rsid w:val="0047340C"/>
    <w:rsid w:val="00485644"/>
    <w:rsid w:val="00485B98"/>
    <w:rsid w:val="0049660E"/>
    <w:rsid w:val="004A01AC"/>
    <w:rsid w:val="004A2CF1"/>
    <w:rsid w:val="004A542F"/>
    <w:rsid w:val="004B7323"/>
    <w:rsid w:val="004C06B6"/>
    <w:rsid w:val="004C1362"/>
    <w:rsid w:val="004C2DC6"/>
    <w:rsid w:val="004D260D"/>
    <w:rsid w:val="004D2992"/>
    <w:rsid w:val="004E241E"/>
    <w:rsid w:val="004E35BF"/>
    <w:rsid w:val="004E4DE7"/>
    <w:rsid w:val="004F71D3"/>
    <w:rsid w:val="005010E5"/>
    <w:rsid w:val="00520406"/>
    <w:rsid w:val="00521296"/>
    <w:rsid w:val="00525BC8"/>
    <w:rsid w:val="005360DC"/>
    <w:rsid w:val="00543712"/>
    <w:rsid w:val="00547E84"/>
    <w:rsid w:val="005521E4"/>
    <w:rsid w:val="0056285E"/>
    <w:rsid w:val="00563B50"/>
    <w:rsid w:val="005664C3"/>
    <w:rsid w:val="0056675B"/>
    <w:rsid w:val="005773DD"/>
    <w:rsid w:val="005857D8"/>
    <w:rsid w:val="00585CE1"/>
    <w:rsid w:val="00597BCD"/>
    <w:rsid w:val="00597F63"/>
    <w:rsid w:val="005A468A"/>
    <w:rsid w:val="005C1DFB"/>
    <w:rsid w:val="005C3D8E"/>
    <w:rsid w:val="005C598D"/>
    <w:rsid w:val="005D16A3"/>
    <w:rsid w:val="005D22A8"/>
    <w:rsid w:val="005D2ABC"/>
    <w:rsid w:val="005D2AFC"/>
    <w:rsid w:val="005D6D36"/>
    <w:rsid w:val="005E01A6"/>
    <w:rsid w:val="005E394F"/>
    <w:rsid w:val="005E560B"/>
    <w:rsid w:val="005F4F7F"/>
    <w:rsid w:val="005F548A"/>
    <w:rsid w:val="006120A4"/>
    <w:rsid w:val="006134E5"/>
    <w:rsid w:val="00613F67"/>
    <w:rsid w:val="006146E3"/>
    <w:rsid w:val="006153B8"/>
    <w:rsid w:val="00616AD8"/>
    <w:rsid w:val="00621EF7"/>
    <w:rsid w:val="006271FD"/>
    <w:rsid w:val="00635A6A"/>
    <w:rsid w:val="00640D2F"/>
    <w:rsid w:val="006431F7"/>
    <w:rsid w:val="00652AEA"/>
    <w:rsid w:val="00654BAD"/>
    <w:rsid w:val="006648A7"/>
    <w:rsid w:val="00665D6F"/>
    <w:rsid w:val="00665EDB"/>
    <w:rsid w:val="006664EF"/>
    <w:rsid w:val="00672402"/>
    <w:rsid w:val="00686492"/>
    <w:rsid w:val="00686C74"/>
    <w:rsid w:val="006A5003"/>
    <w:rsid w:val="006C6D22"/>
    <w:rsid w:val="006D1AC2"/>
    <w:rsid w:val="006E7226"/>
    <w:rsid w:val="006F1317"/>
    <w:rsid w:val="006F2B7C"/>
    <w:rsid w:val="006F3AD4"/>
    <w:rsid w:val="006F6FC3"/>
    <w:rsid w:val="00702569"/>
    <w:rsid w:val="007047D8"/>
    <w:rsid w:val="00707396"/>
    <w:rsid w:val="007323D8"/>
    <w:rsid w:val="0073482B"/>
    <w:rsid w:val="00764B4B"/>
    <w:rsid w:val="007750F5"/>
    <w:rsid w:val="00782461"/>
    <w:rsid w:val="007918B3"/>
    <w:rsid w:val="00793E5C"/>
    <w:rsid w:val="00795B84"/>
    <w:rsid w:val="007B7147"/>
    <w:rsid w:val="007C2314"/>
    <w:rsid w:val="007C3BBF"/>
    <w:rsid w:val="007D4D63"/>
    <w:rsid w:val="007F40B5"/>
    <w:rsid w:val="00801300"/>
    <w:rsid w:val="00806992"/>
    <w:rsid w:val="0081251F"/>
    <w:rsid w:val="0081378F"/>
    <w:rsid w:val="00814B7E"/>
    <w:rsid w:val="00817BAF"/>
    <w:rsid w:val="008243E7"/>
    <w:rsid w:val="008257A3"/>
    <w:rsid w:val="00825AE3"/>
    <w:rsid w:val="00843136"/>
    <w:rsid w:val="008453F2"/>
    <w:rsid w:val="00846EE7"/>
    <w:rsid w:val="00853060"/>
    <w:rsid w:val="00854387"/>
    <w:rsid w:val="00854C1C"/>
    <w:rsid w:val="00857CD7"/>
    <w:rsid w:val="00863B04"/>
    <w:rsid w:val="00873D3B"/>
    <w:rsid w:val="0087720D"/>
    <w:rsid w:val="00882DD2"/>
    <w:rsid w:val="00891F6B"/>
    <w:rsid w:val="0089220E"/>
    <w:rsid w:val="008941DB"/>
    <w:rsid w:val="008A3BD4"/>
    <w:rsid w:val="008B0CBC"/>
    <w:rsid w:val="008B726F"/>
    <w:rsid w:val="008C2FA4"/>
    <w:rsid w:val="008C2FED"/>
    <w:rsid w:val="008D745D"/>
    <w:rsid w:val="008E5EB9"/>
    <w:rsid w:val="008F1263"/>
    <w:rsid w:val="008F311F"/>
    <w:rsid w:val="008F3F1C"/>
    <w:rsid w:val="008F6F1E"/>
    <w:rsid w:val="00911E92"/>
    <w:rsid w:val="00916BA7"/>
    <w:rsid w:val="00921669"/>
    <w:rsid w:val="00922A9F"/>
    <w:rsid w:val="0092386A"/>
    <w:rsid w:val="00930785"/>
    <w:rsid w:val="00932B63"/>
    <w:rsid w:val="00932BE9"/>
    <w:rsid w:val="00932CF3"/>
    <w:rsid w:val="00933FBB"/>
    <w:rsid w:val="009450DE"/>
    <w:rsid w:val="009571B9"/>
    <w:rsid w:val="00963875"/>
    <w:rsid w:val="00967E78"/>
    <w:rsid w:val="00976EB3"/>
    <w:rsid w:val="00977F08"/>
    <w:rsid w:val="009807EE"/>
    <w:rsid w:val="00981F7C"/>
    <w:rsid w:val="0098638B"/>
    <w:rsid w:val="009930CB"/>
    <w:rsid w:val="009B1CBD"/>
    <w:rsid w:val="009C0DED"/>
    <w:rsid w:val="009C3A50"/>
    <w:rsid w:val="009C7D8F"/>
    <w:rsid w:val="009D1980"/>
    <w:rsid w:val="009D3057"/>
    <w:rsid w:val="009D319B"/>
    <w:rsid w:val="009D322D"/>
    <w:rsid w:val="009E2614"/>
    <w:rsid w:val="009E56D1"/>
    <w:rsid w:val="009E680D"/>
    <w:rsid w:val="009F22E3"/>
    <w:rsid w:val="009F5407"/>
    <w:rsid w:val="009F6B04"/>
    <w:rsid w:val="00A00AAE"/>
    <w:rsid w:val="00A264EE"/>
    <w:rsid w:val="00A348E5"/>
    <w:rsid w:val="00A45664"/>
    <w:rsid w:val="00A52195"/>
    <w:rsid w:val="00A57D68"/>
    <w:rsid w:val="00A6466D"/>
    <w:rsid w:val="00A658E5"/>
    <w:rsid w:val="00A66544"/>
    <w:rsid w:val="00A81905"/>
    <w:rsid w:val="00A81929"/>
    <w:rsid w:val="00A82887"/>
    <w:rsid w:val="00A9337A"/>
    <w:rsid w:val="00A96A30"/>
    <w:rsid w:val="00A96CA8"/>
    <w:rsid w:val="00AB1C79"/>
    <w:rsid w:val="00AB47C8"/>
    <w:rsid w:val="00AC7B13"/>
    <w:rsid w:val="00AD03DC"/>
    <w:rsid w:val="00AD7CF9"/>
    <w:rsid w:val="00AE503E"/>
    <w:rsid w:val="00AF1C21"/>
    <w:rsid w:val="00AF23B7"/>
    <w:rsid w:val="00AF2BD1"/>
    <w:rsid w:val="00AF3BD9"/>
    <w:rsid w:val="00B01361"/>
    <w:rsid w:val="00B02518"/>
    <w:rsid w:val="00B02FDC"/>
    <w:rsid w:val="00B05AAA"/>
    <w:rsid w:val="00B062F2"/>
    <w:rsid w:val="00B260D5"/>
    <w:rsid w:val="00B33CF8"/>
    <w:rsid w:val="00B344C2"/>
    <w:rsid w:val="00B3537E"/>
    <w:rsid w:val="00B4638D"/>
    <w:rsid w:val="00B60F49"/>
    <w:rsid w:val="00B6489E"/>
    <w:rsid w:val="00B7139C"/>
    <w:rsid w:val="00B757F8"/>
    <w:rsid w:val="00B75B29"/>
    <w:rsid w:val="00B840AC"/>
    <w:rsid w:val="00B860BD"/>
    <w:rsid w:val="00B902E8"/>
    <w:rsid w:val="00B91BC5"/>
    <w:rsid w:val="00B93D1B"/>
    <w:rsid w:val="00B942EF"/>
    <w:rsid w:val="00B96D37"/>
    <w:rsid w:val="00BA6336"/>
    <w:rsid w:val="00BA6DCA"/>
    <w:rsid w:val="00BB36BF"/>
    <w:rsid w:val="00BB670D"/>
    <w:rsid w:val="00BC6A4C"/>
    <w:rsid w:val="00BE79AE"/>
    <w:rsid w:val="00C04EEB"/>
    <w:rsid w:val="00C10643"/>
    <w:rsid w:val="00C14953"/>
    <w:rsid w:val="00C15990"/>
    <w:rsid w:val="00C20DB4"/>
    <w:rsid w:val="00C33A5F"/>
    <w:rsid w:val="00C35BAC"/>
    <w:rsid w:val="00C4651A"/>
    <w:rsid w:val="00C47C46"/>
    <w:rsid w:val="00C509AA"/>
    <w:rsid w:val="00C50C7A"/>
    <w:rsid w:val="00C55BAF"/>
    <w:rsid w:val="00C62A53"/>
    <w:rsid w:val="00C658B2"/>
    <w:rsid w:val="00C67C22"/>
    <w:rsid w:val="00C76CAB"/>
    <w:rsid w:val="00C778B0"/>
    <w:rsid w:val="00C9054D"/>
    <w:rsid w:val="00CA17B7"/>
    <w:rsid w:val="00CB0F3D"/>
    <w:rsid w:val="00CC63C4"/>
    <w:rsid w:val="00CD4D54"/>
    <w:rsid w:val="00CE5BE5"/>
    <w:rsid w:val="00CE5CE6"/>
    <w:rsid w:val="00CF032A"/>
    <w:rsid w:val="00CF2022"/>
    <w:rsid w:val="00CF2133"/>
    <w:rsid w:val="00CF255E"/>
    <w:rsid w:val="00CF77AD"/>
    <w:rsid w:val="00D12EBF"/>
    <w:rsid w:val="00D179B0"/>
    <w:rsid w:val="00D2037A"/>
    <w:rsid w:val="00D273B6"/>
    <w:rsid w:val="00D3379D"/>
    <w:rsid w:val="00D33FA2"/>
    <w:rsid w:val="00D35EFF"/>
    <w:rsid w:val="00D3733F"/>
    <w:rsid w:val="00D550F5"/>
    <w:rsid w:val="00D700A9"/>
    <w:rsid w:val="00D8269C"/>
    <w:rsid w:val="00D91C84"/>
    <w:rsid w:val="00DA2699"/>
    <w:rsid w:val="00DA39F8"/>
    <w:rsid w:val="00DA6C19"/>
    <w:rsid w:val="00DC0D9C"/>
    <w:rsid w:val="00DD348C"/>
    <w:rsid w:val="00DD5E40"/>
    <w:rsid w:val="00DE15E6"/>
    <w:rsid w:val="00DF2AA1"/>
    <w:rsid w:val="00E012E0"/>
    <w:rsid w:val="00E02567"/>
    <w:rsid w:val="00E11FD2"/>
    <w:rsid w:val="00E216C7"/>
    <w:rsid w:val="00E24FC5"/>
    <w:rsid w:val="00E411CA"/>
    <w:rsid w:val="00E4514B"/>
    <w:rsid w:val="00E45496"/>
    <w:rsid w:val="00E510E1"/>
    <w:rsid w:val="00E51594"/>
    <w:rsid w:val="00E714E8"/>
    <w:rsid w:val="00E73676"/>
    <w:rsid w:val="00E80DF8"/>
    <w:rsid w:val="00E9446E"/>
    <w:rsid w:val="00ED5BBC"/>
    <w:rsid w:val="00EE1413"/>
    <w:rsid w:val="00EE32DC"/>
    <w:rsid w:val="00EF71C1"/>
    <w:rsid w:val="00F03726"/>
    <w:rsid w:val="00F05878"/>
    <w:rsid w:val="00F10048"/>
    <w:rsid w:val="00F113D7"/>
    <w:rsid w:val="00F209D3"/>
    <w:rsid w:val="00F21449"/>
    <w:rsid w:val="00F216F2"/>
    <w:rsid w:val="00F22423"/>
    <w:rsid w:val="00F306D5"/>
    <w:rsid w:val="00F31CCB"/>
    <w:rsid w:val="00F32C6C"/>
    <w:rsid w:val="00F37764"/>
    <w:rsid w:val="00F40FA6"/>
    <w:rsid w:val="00F47C57"/>
    <w:rsid w:val="00F518A4"/>
    <w:rsid w:val="00F545D9"/>
    <w:rsid w:val="00F5689F"/>
    <w:rsid w:val="00F60561"/>
    <w:rsid w:val="00F8015C"/>
    <w:rsid w:val="00F81FC2"/>
    <w:rsid w:val="00F85D58"/>
    <w:rsid w:val="00F93399"/>
    <w:rsid w:val="00F93F76"/>
    <w:rsid w:val="00F94916"/>
    <w:rsid w:val="00F96384"/>
    <w:rsid w:val="00FA7111"/>
    <w:rsid w:val="00FB3E34"/>
    <w:rsid w:val="00FB7A76"/>
    <w:rsid w:val="00FB7F3B"/>
    <w:rsid w:val="00FC5838"/>
    <w:rsid w:val="00FC7B51"/>
    <w:rsid w:val="00FD1947"/>
    <w:rsid w:val="00FE1347"/>
    <w:rsid w:val="00FF24E1"/>
    <w:rsid w:val="00FF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826a73,#b5a5b4,#dd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9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D322D"/>
    <w:pPr>
      <w:keepNext/>
      <w:outlineLvl w:val="0"/>
    </w:pPr>
    <w:rPr>
      <w:rFonts w:ascii="Garamond" w:hAnsi="Garamond"/>
      <w:b/>
      <w:iCs/>
      <w:emboss/>
      <w:color w:val="000000"/>
    </w:rPr>
  </w:style>
  <w:style w:type="paragraph" w:styleId="Heading2">
    <w:name w:val="heading 2"/>
    <w:basedOn w:val="Normal"/>
    <w:next w:val="Normal"/>
    <w:qFormat/>
    <w:rsid w:val="009D322D"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paragraph" w:styleId="Heading3">
    <w:name w:val="heading 3"/>
    <w:basedOn w:val="Normal"/>
    <w:next w:val="Normal"/>
    <w:qFormat/>
    <w:rsid w:val="009D322D"/>
    <w:pPr>
      <w:keepNext/>
      <w:spacing w:line="300" w:lineRule="auto"/>
      <w:jc w:val="center"/>
      <w:outlineLvl w:val="2"/>
    </w:pPr>
    <w:rPr>
      <w:rFonts w:ascii="Garamond" w:hAnsi="Garamond"/>
      <w:b/>
      <w:bCs/>
      <w:iCs/>
      <w:szCs w:val="20"/>
    </w:rPr>
  </w:style>
  <w:style w:type="paragraph" w:styleId="Heading4">
    <w:name w:val="heading 4"/>
    <w:basedOn w:val="Normal"/>
    <w:next w:val="Normal"/>
    <w:qFormat/>
    <w:rsid w:val="009D322D"/>
    <w:pPr>
      <w:keepNext/>
      <w:outlineLvl w:val="3"/>
    </w:pPr>
    <w:rPr>
      <w:rFonts w:ascii="Garamond" w:hAnsi="Garamond"/>
      <w:b/>
      <w:emboss/>
      <w:color w:val="000000"/>
      <w:szCs w:val="20"/>
    </w:rPr>
  </w:style>
  <w:style w:type="paragraph" w:styleId="Heading5">
    <w:name w:val="heading 5"/>
    <w:basedOn w:val="Normal"/>
    <w:next w:val="Normal"/>
    <w:qFormat/>
    <w:rsid w:val="009D322D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9D322D"/>
    <w:pPr>
      <w:keepNext/>
      <w:outlineLvl w:val="5"/>
    </w:pPr>
    <w:rPr>
      <w:rFonts w:ascii="Garamond" w:hAnsi="Garamond"/>
      <w:b/>
      <w:emboss/>
      <w:color w:val="000000"/>
      <w:sz w:val="44"/>
    </w:rPr>
  </w:style>
  <w:style w:type="paragraph" w:styleId="Heading7">
    <w:name w:val="heading 7"/>
    <w:basedOn w:val="Normal"/>
    <w:next w:val="Normal"/>
    <w:qFormat/>
    <w:rsid w:val="009D322D"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22D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paragraph" w:customStyle="1" w:styleId="Achievement">
    <w:name w:val="Achievement"/>
    <w:basedOn w:val="BodyText"/>
    <w:autoRedefine/>
    <w:rsid w:val="009D322D"/>
    <w:pPr>
      <w:tabs>
        <w:tab w:val="left" w:pos="5674"/>
      </w:tabs>
      <w:spacing w:after="0"/>
      <w:ind w:left="-187" w:right="72"/>
      <w:jc w:val="both"/>
    </w:pPr>
    <w:rPr>
      <w:noProof/>
      <w:sz w:val="2"/>
      <w:lang w:val="en-GB" w:eastAsia="en-GB"/>
    </w:rPr>
  </w:style>
  <w:style w:type="paragraph" w:styleId="BodyText">
    <w:name w:val="Body Text"/>
    <w:basedOn w:val="Normal"/>
    <w:rsid w:val="009D322D"/>
    <w:pPr>
      <w:spacing w:after="120"/>
    </w:pPr>
  </w:style>
  <w:style w:type="paragraph" w:customStyle="1" w:styleId="CompanyNameOne">
    <w:name w:val="Company Name One"/>
    <w:basedOn w:val="Normal"/>
    <w:next w:val="Normal"/>
    <w:rsid w:val="009D322D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styleId="BodyText3">
    <w:name w:val="Body Text 3"/>
    <w:basedOn w:val="Normal"/>
    <w:rsid w:val="009D322D"/>
    <w:pPr>
      <w:spacing w:line="360" w:lineRule="auto"/>
      <w:jc w:val="center"/>
    </w:pPr>
    <w:rPr>
      <w:rFonts w:ascii="Arial" w:hAnsi="Arial" w:cs="Arial"/>
      <w:caps/>
      <w:sz w:val="36"/>
      <w:szCs w:val="22"/>
    </w:rPr>
  </w:style>
  <w:style w:type="paragraph" w:styleId="BodyTextIndent">
    <w:name w:val="Body Text Indent"/>
    <w:basedOn w:val="Normal"/>
    <w:rsid w:val="009D322D"/>
    <w:pPr>
      <w:ind w:left="360"/>
    </w:pPr>
    <w:rPr>
      <w:sz w:val="22"/>
    </w:rPr>
  </w:style>
  <w:style w:type="character" w:styleId="Hyperlink">
    <w:name w:val="Hyperlink"/>
    <w:basedOn w:val="DefaultParagraphFont"/>
    <w:rsid w:val="009D322D"/>
    <w:rPr>
      <w:color w:val="0000FF"/>
      <w:u w:val="single"/>
    </w:rPr>
  </w:style>
  <w:style w:type="paragraph" w:styleId="Title">
    <w:name w:val="Title"/>
    <w:basedOn w:val="Normal"/>
    <w:qFormat/>
    <w:rsid w:val="009D322D"/>
    <w:pPr>
      <w:jc w:val="center"/>
    </w:pPr>
    <w:rPr>
      <w:sz w:val="40"/>
    </w:rPr>
  </w:style>
  <w:style w:type="paragraph" w:styleId="BlockText">
    <w:name w:val="Block Text"/>
    <w:basedOn w:val="Normal"/>
    <w:rsid w:val="009D322D"/>
    <w:pPr>
      <w:ind w:left="720" w:right="544"/>
      <w:jc w:val="both"/>
    </w:pPr>
    <w:rPr>
      <w:rFonts w:ascii="Bookman Old Style" w:hAnsi="Bookman Old Style"/>
      <w:sz w:val="22"/>
      <w:szCs w:val="22"/>
    </w:rPr>
  </w:style>
  <w:style w:type="paragraph" w:customStyle="1" w:styleId="Objective">
    <w:name w:val="Objective"/>
    <w:basedOn w:val="Normal"/>
    <w:next w:val="BodyText"/>
    <w:rsid w:val="009D322D"/>
    <w:pPr>
      <w:spacing w:before="220" w:after="220" w:line="220" w:lineRule="atLeast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9D322D"/>
    <w:rPr>
      <w:sz w:val="16"/>
      <w:szCs w:val="16"/>
    </w:rPr>
  </w:style>
  <w:style w:type="paragraph" w:styleId="CommentText">
    <w:name w:val="annotation text"/>
    <w:basedOn w:val="Normal"/>
    <w:semiHidden/>
    <w:rsid w:val="009D322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D322D"/>
    <w:rPr>
      <w:b/>
      <w:bCs/>
    </w:rPr>
  </w:style>
  <w:style w:type="paragraph" w:styleId="BalloonText">
    <w:name w:val="Balloon Text"/>
    <w:basedOn w:val="Normal"/>
    <w:semiHidden/>
    <w:rsid w:val="009D32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D3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rsid w:val="009D322D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Date">
    <w:name w:val="Date"/>
    <w:basedOn w:val="BodyText"/>
    <w:rsid w:val="009D322D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ityState">
    <w:name w:val="City/State"/>
    <w:basedOn w:val="BodyText"/>
    <w:next w:val="BodyText"/>
    <w:rsid w:val="009D322D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MainHeading">
    <w:name w:val="Main Heading"/>
    <w:basedOn w:val="Normal"/>
    <w:rsid w:val="009D322D"/>
    <w:pPr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</w:pPr>
    <w:rPr>
      <w:rFonts w:ascii="Copperplate Gothic Light" w:hAnsi="Copperplate Gothic Light"/>
      <w:b/>
      <w:sz w:val="28"/>
      <w:szCs w:val="28"/>
    </w:rPr>
  </w:style>
  <w:style w:type="paragraph" w:styleId="Footer">
    <w:name w:val="footer"/>
    <w:basedOn w:val="Normal"/>
    <w:rsid w:val="009D322D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9D322D"/>
    <w:rPr>
      <w:rFonts w:ascii="Consolas" w:eastAsia="Calibri" w:hAnsi="Consolas"/>
      <w:sz w:val="21"/>
      <w:szCs w:val="21"/>
    </w:rPr>
  </w:style>
  <w:style w:type="character" w:customStyle="1" w:styleId="CharChar">
    <w:name w:val="Char Char"/>
    <w:basedOn w:val="DefaultParagraphFont"/>
    <w:rsid w:val="009D322D"/>
    <w:rPr>
      <w:rFonts w:ascii="Consolas" w:eastAsia="Calibri" w:hAnsi="Consolas" w:cs="Times New Roman"/>
      <w:sz w:val="21"/>
      <w:szCs w:val="21"/>
    </w:rPr>
  </w:style>
  <w:style w:type="paragraph" w:customStyle="1" w:styleId="null1">
    <w:name w:val="null1"/>
    <w:basedOn w:val="Normal"/>
    <w:rsid w:val="009D322D"/>
    <w:pPr>
      <w:spacing w:after="150"/>
    </w:pPr>
    <w:rPr>
      <w:rFonts w:eastAsia="Batang"/>
      <w:sz w:val="31"/>
      <w:szCs w:val="31"/>
      <w:lang w:eastAsia="ko-KR"/>
    </w:rPr>
  </w:style>
  <w:style w:type="paragraph" w:styleId="ListParagraph">
    <w:name w:val="List Paragraph"/>
    <w:basedOn w:val="Normal"/>
    <w:uiPriority w:val="34"/>
    <w:qFormat/>
    <w:rsid w:val="00F306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7035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667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108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683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090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419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025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261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emangi_bhatt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Resume-Anshul mehta</vt:lpstr>
    </vt:vector>
  </TitlesOfParts>
  <Company/>
  <LinksUpToDate>false</LinksUpToDate>
  <CharactersWithSpaces>4092</CharactersWithSpaces>
  <SharedDoc>false</SharedDoc>
  <HLinks>
    <vt:vector size="6" baseType="variant">
      <vt:variant>
        <vt:i4>4849676</vt:i4>
      </vt:variant>
      <vt:variant>
        <vt:i4>0</vt:i4>
      </vt:variant>
      <vt:variant>
        <vt:i4>0</vt:i4>
      </vt:variant>
      <vt:variant>
        <vt:i4>5</vt:i4>
      </vt:variant>
      <vt:variant>
        <vt:lpwstr>mailto:hemangi_bhatt@yahoo.co.in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Resume-Anshul mehta</dc:title>
  <dc:subject/>
  <dc:creator>Anshul Mehta</dc:creator>
  <cp:keywords/>
  <dc:description/>
  <cp:lastModifiedBy>hemangib938</cp:lastModifiedBy>
  <cp:revision>2</cp:revision>
  <cp:lastPrinted>2006-11-28T13:23:00Z</cp:lastPrinted>
  <dcterms:created xsi:type="dcterms:W3CDTF">2011-08-26T10:14:00Z</dcterms:created>
  <dcterms:modified xsi:type="dcterms:W3CDTF">2011-08-26T10:14:00Z</dcterms:modified>
</cp:coreProperties>
</file>