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Jigar Gajjar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Human Resources Manager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Gujarat, Ahmedabad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+919033438396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Gujarat, Ahmedabad</w:t>
            </w:r>
          </w:p>
          <w:p>
            <w:pPr>
              <w:jc w:val="center"/>
              <w:pStyle w:val="NoMargins"/>
            </w:pPr>
            <w:r>
              <w:t xml:space="preserve">+919033438396</w:t>
            </w:r>
          </w:p>
          <w:p>
            <w:pPr>
              <w:jc w:val="center"/>
              <w:pStyle w:val="NoMargins"/>
            </w:pPr>
            <w:hyperlink w:history="1" r:id="rId43096">
              <w:r>
                <w:rPr>
                  <w:rStyle w:val="Hyperlink"/>
                </w:rPr>
                <w:t xml:space="preserve">Jigar.gajjar18@gmail.com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9636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Performance Management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Human Resource Information Software (HRMS)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Onboarding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Employee Relation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Payroll Processing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Knowledge of Regulations and Compliance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Hobbies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Center"/>
            </w:pPr>
            <w:r>
              <w:t xml:space="preserve">Visiting new place, exploring new gadgets, Singing, listening to music, playing games like snooker.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Gujarati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Experienced and self-motivated Human Resources Manager with more than seven years of industry experience overseeing the Human Resources Department of a IT company, and working to implement programs and changes that enhanced the company. Highly competent communicator skilled in developing initiatives that improve company profitability and growth. Bringing forth a proven track record of successfully managing Human Resource efforts and leading teams to work toward company goals.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HR Manager at Elision Technologies Private Limited, Ahmedabad</w:t>
                  </w:r>
                </w:p>
                <w:p>
                  <w:pPr>
                    <w:pStyle w:val="Date"/>
                  </w:pPr>
                  <w:r>
                    <w:t xml:space="preserve">August 2022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virtual and onsite on boarding and off boarding.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utilized Human Resources Information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and lead a 3 person team of Human Resources Professionals.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 and coordinated company events to promote engagement and unity.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the recruitment process.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Identified and recruited highly qualified talent via ATS, job boards, and personal networks.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and implemented employee rules and guidelines.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ensure employee retention by listening and understanding the desires and needs of employees.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Ensured that all company HR procedures and guidelines are followed.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to oversee employee benefits and compensation packages.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the development and dispersion of the HR employee manual.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in on-boarding and training.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Reviewed and assessed resumes sent in by job applicants.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Distributed employee handbooks and answered questions and concerns.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and maintained employee records.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Human Resource Manager at Infrassist Technologies Pvt. Ltd., Ahmedabad</w:t>
                  </w:r>
                </w:p>
                <w:p>
                  <w:pPr>
                    <w:pStyle w:val="Date"/>
                  </w:pPr>
                  <w:r>
                    <w:t xml:space="preserve">April 2021 — August 2022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HR Executive at Infrassist Technologies Pvt. Ltd. , Ahmedabad</w:t>
                  </w:r>
                </w:p>
                <w:p>
                  <w:pPr>
                    <w:pStyle w:val="Date"/>
                  </w:pPr>
                  <w:r>
                    <w:t xml:space="preserve">August 2019 — August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Managing  end to end recruitment &amp; induction of candidate and ensure smooth on-boarding.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Hire using portals like Naukri.com, Indeed, whatsapp group and LinkedIn for hiring.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Maintained positive connections with all potential and placed talent.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Proactively work on recruitment based upon expected future requirements.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Connect/Coordinate with colleges for Campus placements.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Have quarterly 1:1 meet with all the employees and create 360 feedback to understand pain areas and resolve queries/concerns.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Initiate skip level meeting to understand the concerns raised by executive level people.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Handling payroll (including leave &amp; attendance) management.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Consult with top management on strategic planning and serve as link between organization management and employee.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Design job descriptions.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Effectively utilize and maintain Human Resources Information Systems (Emgage).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Planned and coordinated company events to promote engagement and unity.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Created and implemented employee rules and guidelines.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3"/>
                    </w:numPr>
                  </w:pPr>
                  <w:r>
                    <w:t xml:space="preserve">Helped to ensure employee retention by listening and understanding the desires and needs of employees.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US HR at Rang Technologies, Vadodara</w:t>
                  </w:r>
                </w:p>
                <w:p>
                  <w:pPr>
                    <w:pStyle w:val="Date"/>
                  </w:pPr>
                  <w:r>
                    <w:t xml:space="preserve">April 2018 — February 2019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US HR at Rang Technologies, Vadodara</w:t>
                  </w:r>
                </w:p>
                <w:p>
                  <w:pPr>
                    <w:pStyle w:val="Date"/>
                  </w:pPr>
                  <w:r>
                    <w:t xml:space="preserve">July 2017 — March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Responsible for audit on-boarding process of the consultants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Review the background check reports (criminal, employment, education, reference, credit, etc)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Checking up on insurance process for employees and helping assistant manager in hr duties (hr generalist profile).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Coordinate with hr operations and delivery team to complete the on-boarding process for smooth and timely delivery.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Coordinate with hr operations, legal &amp; contracts and accounting team to ensure adherence of client sla’s.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Contribute to internal and external client audits.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Ensure adherence of all clients related compliance (contractual, sow and change requests).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Processing various letter request of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Audit/review documents of consultants; maintain and update their current work authorization status.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61"/>
                    </w:numPr>
                  </w:pPr>
                  <w:r>
                    <w:t xml:space="preserve">Train new employees on process and various work authorization information.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Operation Executive at Collabera, Vadodara</w:t>
                  </w:r>
                </w:p>
                <w:p>
                  <w:pPr>
                    <w:pStyle w:val="Date"/>
                  </w:pPr>
                  <w:r>
                    <w:t xml:space="preserve">May 2015 — July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US HR Operations Executive initiates and completes the On boarding processes per the norms of Collabera, US State &amp; Federal Govt. &amp; Collabera's Clients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Communicates efficiently with the prospective employees about the framework of Collabera’s policies and the US Department of Labour and other parties that may be involved.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Should be able to analyze and verify all the documents received from prospective employees to confirm true identity and resolve deficiencies if any and get onboarding completed within pre-defined Service Level Agreements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Create and maintain a positive employee experience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Coordinate with external Vendors - Business Partners, Background Verification agencies, Vendor Management Organizations, Procurement teams, etc. to complete statutory requirements in line with Collabera and their Client policies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Coordinate with the internal teams to make sure that tasks are brought to a logical conclusion in a defined timeframe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Resolve Billing problems including P.O. extensions, invoice rejections, and P.O. budget issues. Following up with the client/sales teams for P.O. s. This includes entries in appropriate systems and notifying the right people once the problems have been resolved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81"/>
                    </w:numPr>
                  </w:pPr>
                  <w:r>
                    <w:t xml:space="preserve">Take part in Collabera internal audits-fixing errors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SSC, BARODA HIGH SCHOOL (ONGC), Vadodara</w:t>
                  </w:r>
                </w:p>
                <w:p>
                  <w:pPr>
                    <w:pStyle w:val="Date"/>
                  </w:pPr>
                  <w:r/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HSC, DON BOSCO HIGH SCHOOL, Vadodara</w:t>
                  </w:r>
                </w:p>
                <w:p>
                  <w:pPr>
                    <w:pStyle w:val="Date"/>
                  </w:pPr>
                  <w:r/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Bachelor of Commerce, M.S. UNIVERSITY, Vadaodara</w:t>
                  </w:r>
                </w:p>
                <w:p>
                  <w:pPr>
                    <w:pStyle w:val="Date"/>
                  </w:pPr>
                  <w:r>
                    <w:t xml:space="preserve">2010 — 2013</w:t>
                  </w:r>
                </w:p>
                <w:p>
                  <w:r>
                    <w:t xml:space="preserve">Specialization was Advanced Accounts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PGDM, Parul University, Wagodia</w:t>
                  </w:r>
                </w:p>
                <w:p>
                  <w:pPr>
                    <w:pStyle w:val="Date"/>
                  </w:pPr>
                  <w:r>
                    <w:t xml:space="preserve">2013 — 2015</w:t>
                  </w:r>
                </w:p>
                <w:p>
                  <w:r>
                    <w:t xml:space="preserve">Duel specialization with Major as HR and minor was Finance. 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HR Intern at Eureka Forbes Ltd., Vadodara</w:t>
                  </w:r>
                </w:p>
                <w:p>
                  <w:pPr>
                    <w:pStyle w:val="Date"/>
                  </w:pPr>
                  <w:r>
                    <w:t xml:space="preserve">May 2014 — June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7"/>
                    </w:numPr>
                  </w:pPr>
                  <w:r>
                    <w:rPr>
                      <w:i w:val="true"/>
                      <w:iCs w:val="true"/>
                    </w:rPr>
                    <w:t xml:space="preserve">Marketing of job in sales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7"/>
                    </w:numPr>
                  </w:pPr>
                  <w:r>
                    <w:rPr>
                      <w:i w:val="true"/>
                      <w:iCs w:val="true"/>
                    </w:rPr>
                    <w:t xml:space="preserve">Holding interviews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7"/>
                    </w:numPr>
                  </w:pPr>
                  <w:r>
                    <w:rPr>
                      <w:i w:val="true"/>
                      <w:iCs w:val="true"/>
                    </w:rPr>
                    <w:t xml:space="preserve">Application of theoretical knowledge into practicality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7"/>
                    </w:numPr>
                  </w:pPr>
                  <w:r>
                    <w:rPr>
                      <w:i w:val="true"/>
                      <w:iCs w:val="true"/>
                    </w:rPr>
                    <w:t xml:space="preserve">Handling people at workplace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7"/>
                    </w:numPr>
                  </w:pPr>
                  <w:r>
                    <w:rPr>
                      <w:i w:val="true"/>
                      <w:iCs w:val="true"/>
                    </w:rPr>
                    <w:t xml:space="preserve">Learning Communication skills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7"/>
                    </w:numPr>
                  </w:pPr>
                  <w:r>
                    <w:rPr>
                      <w:i w:val="true"/>
                      <w:iCs w:val="true"/>
                    </w:rPr>
                    <w:t xml:space="preserve">Dealing with different type of people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9636" Type="http://schemas.openxmlformats.org/officeDocument/2006/relationships/hyperlink" Target="https://www.linkedin.com/in/jigar-gajjar-2abb0218/" TargetMode="External"/><Relationship Id="rId43096" Type="http://schemas.openxmlformats.org/officeDocument/2006/relationships/hyperlink" Target="mailto:Jigar.gajjar18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4jxedb7meio04mtltqaomnc.png"/><Relationship Id="rId10" Type="http://schemas.openxmlformats.org/officeDocument/2006/relationships/image" Target="media/wea04xfd8aho2vrlv4l59.png"/><Relationship Id="rId11" Type="http://schemas.openxmlformats.org/officeDocument/2006/relationships/image" Target="media/43tk77hnlxk2hltlngs1t5.png"/><Relationship Id="rId12" Type="http://schemas.openxmlformats.org/officeDocument/2006/relationships/image" Target="media/b3gdqvon5yi95srjcjygd.png"/><Relationship Id="rId13" Type="http://schemas.openxmlformats.org/officeDocument/2006/relationships/image" Target="media/nwlp1psw0tmcq07khzcibo.png"/><Relationship Id="rId14" Type="http://schemas.openxmlformats.org/officeDocument/2006/relationships/image" Target="media/5qq5y6xxgzmiyqhrk1lr3m.png"/><Relationship Id="rId15" Type="http://schemas.openxmlformats.org/officeDocument/2006/relationships/image" Target="media/y8x5o2p92rnjlcwyem45.png"/><Relationship Id="rId16" Type="http://schemas.openxmlformats.org/officeDocument/2006/relationships/image" Target="media/pxfq7rxqzfp7jasst28e7b.png"/><Relationship Id="rId17" Type="http://schemas.openxmlformats.org/officeDocument/2006/relationships/image" Target="media/unw627g9wls5obeetd0spf.png"/><Relationship Id="rId18" Type="http://schemas.openxmlformats.org/officeDocument/2006/relationships/image" Target="media/nr5jh1um40e9urwc8edmsa.png"/><Relationship Id="rId19" Type="http://schemas.openxmlformats.org/officeDocument/2006/relationships/image" Target="media/bwxy4w0kykk17lhxcaw0ni.png"/><Relationship Id="rId20" Type="http://schemas.openxmlformats.org/officeDocument/2006/relationships/image" Target="media/t1muy5u80aignofpe2yblt.png"/><Relationship Id="rId21" Type="http://schemas.openxmlformats.org/officeDocument/2006/relationships/image" Target="media/75rfaa5kdiczw9sp45stm.png"/><Relationship Id="rId22" Type="http://schemas.openxmlformats.org/officeDocument/2006/relationships/image" Target="media/h1qyh3su3ka15nm78egl1s.png"/><Relationship Id="rId23" Type="http://schemas.openxmlformats.org/officeDocument/2006/relationships/image" Target="media/bzz627fchlsiqnrje8dlh.png"/><Relationship Id="rId24" Type="http://schemas.openxmlformats.org/officeDocument/2006/relationships/image" Target="media/69mh75oucctacw7uh2sl1.png"/><Relationship Id="rId25" Type="http://schemas.openxmlformats.org/officeDocument/2006/relationships/image" Target="media/azsls032xuh6k2aw61a5tn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2022-10-03T03:36:10Z</dcterms:created>
  <dcterms:modified xsi:type="dcterms:W3CDTF">2022-10-03T03:36:10Z</dcterms:modified>
</cp:coreProperties>
</file>