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2464" w14:textId="421B290C" w:rsidR="00DE32BE" w:rsidRDefault="00DE32BE" w:rsidP="00D20C7E">
      <w:pPr>
        <w:shd w:val="clear" w:color="auto" w:fill="FFFFFF"/>
        <w:spacing w:before="100" w:beforeAutospacing="1" w:after="100" w:afterAutospacing="1"/>
        <w:jc w:val="center"/>
        <w:rPr>
          <w:rFonts w:asciiTheme="majorBidi" w:eastAsia="Times New Roman" w:hAnsiTheme="majorBidi" w:cstheme="majorBidi"/>
          <w:b/>
          <w:bCs/>
          <w:color w:val="222222"/>
          <w:sz w:val="28"/>
          <w:szCs w:val="28"/>
          <w:lang w:val="en-US" w:eastAsia="en-GB"/>
        </w:rPr>
      </w:pPr>
      <w:r w:rsidRPr="00B16D8D">
        <w:rPr>
          <w:rFonts w:asciiTheme="majorBidi" w:eastAsia="Times New Roman" w:hAnsiTheme="majorBidi" w:cstheme="majorBidi"/>
          <w:b/>
          <w:bCs/>
          <w:color w:val="222222"/>
          <w:sz w:val="28"/>
          <w:szCs w:val="28"/>
          <w:lang w:eastAsia="en-GB"/>
        </w:rPr>
        <w:t>Technological infrastructure, human capital and the BGFs performance in the Asia-Pacific region</w:t>
      </w:r>
    </w:p>
    <w:p w14:paraId="27027CD0" w14:textId="7CD613E8" w:rsidR="0093530D" w:rsidRPr="0093530D" w:rsidRDefault="0093530D" w:rsidP="00D20C7E">
      <w:pPr>
        <w:shd w:val="clear" w:color="auto" w:fill="FFFFFF"/>
        <w:spacing w:before="100" w:beforeAutospacing="1" w:after="100" w:afterAutospacing="1"/>
        <w:jc w:val="center"/>
        <w:rPr>
          <w:rFonts w:asciiTheme="majorBidi" w:eastAsia="Times New Roman" w:hAnsiTheme="majorBidi" w:cstheme="majorBidi"/>
          <w:b/>
          <w:bCs/>
          <w:color w:val="222222"/>
          <w:sz w:val="28"/>
          <w:szCs w:val="28"/>
          <w:lang w:val="en-US" w:eastAsia="en-GB"/>
        </w:rPr>
      </w:pPr>
      <w:r>
        <w:rPr>
          <w:rFonts w:asciiTheme="majorBidi" w:eastAsia="Times New Roman" w:hAnsiTheme="majorBidi" w:cstheme="majorBidi"/>
          <w:b/>
          <w:bCs/>
          <w:color w:val="222222"/>
          <w:sz w:val="28"/>
          <w:szCs w:val="28"/>
          <w:lang w:val="en-US" w:eastAsia="en-GB"/>
        </w:rPr>
        <w:t>by</w:t>
      </w:r>
    </w:p>
    <w:p w14:paraId="04B5E5D3" w14:textId="32D6ACF2" w:rsidR="00DE32BE" w:rsidRPr="0093530D" w:rsidRDefault="0093530D" w:rsidP="0093530D">
      <w:pPr>
        <w:shd w:val="clear" w:color="auto" w:fill="FFFFFF"/>
        <w:jc w:val="center"/>
        <w:rPr>
          <w:rFonts w:asciiTheme="majorBidi" w:eastAsia="Times New Roman" w:hAnsiTheme="majorBidi" w:cstheme="majorBidi"/>
          <w:color w:val="222222"/>
          <w:lang w:val="en-US" w:eastAsia="en-GB"/>
        </w:rPr>
      </w:pPr>
      <w:r>
        <w:rPr>
          <w:rFonts w:asciiTheme="majorBidi" w:eastAsia="Times New Roman" w:hAnsiTheme="majorBidi" w:cstheme="majorBidi"/>
          <w:color w:val="222222"/>
          <w:lang w:val="en-US" w:eastAsia="en-GB"/>
        </w:rPr>
        <w:t>Rizwan Mushtaq and Ghulam Murtaza</w:t>
      </w:r>
    </w:p>
    <w:p w14:paraId="736E439A" w14:textId="77777777" w:rsidR="007A41EE" w:rsidRPr="00B16D8D" w:rsidRDefault="007A41EE">
      <w:pPr>
        <w:rPr>
          <w:rFonts w:asciiTheme="majorBidi" w:hAnsiTheme="majorBidi" w:cstheme="majorBidi"/>
          <w:b/>
          <w:bCs/>
          <w:lang w:val="en-US"/>
        </w:rPr>
      </w:pPr>
    </w:p>
    <w:p w14:paraId="556682A0" w14:textId="77777777" w:rsidR="007A41EE" w:rsidRPr="00B16D8D" w:rsidRDefault="007A41EE">
      <w:pPr>
        <w:rPr>
          <w:rFonts w:asciiTheme="majorBidi" w:hAnsiTheme="majorBidi" w:cstheme="majorBidi"/>
          <w:b/>
          <w:bCs/>
          <w:lang w:val="en-US"/>
        </w:rPr>
      </w:pPr>
    </w:p>
    <w:p w14:paraId="5D5031E1" w14:textId="68245890" w:rsidR="00DE32BE" w:rsidRPr="00B16D8D" w:rsidRDefault="005564F0" w:rsidP="00B16D8D">
      <w:pPr>
        <w:spacing w:line="360" w:lineRule="auto"/>
        <w:rPr>
          <w:rFonts w:asciiTheme="majorBidi" w:hAnsiTheme="majorBidi" w:cstheme="majorBidi"/>
          <w:b/>
          <w:bCs/>
          <w:lang w:val="en-US"/>
        </w:rPr>
      </w:pPr>
      <w:r w:rsidRPr="00B16D8D">
        <w:rPr>
          <w:rFonts w:asciiTheme="majorBidi" w:hAnsiTheme="majorBidi" w:cstheme="majorBidi"/>
          <w:b/>
          <w:bCs/>
          <w:lang w:val="en-US"/>
        </w:rPr>
        <w:t>Brief overview</w:t>
      </w:r>
    </w:p>
    <w:p w14:paraId="326D37BF" w14:textId="77777777" w:rsidR="005564F0" w:rsidRPr="00B16D8D" w:rsidRDefault="005564F0" w:rsidP="00B16D8D">
      <w:pPr>
        <w:spacing w:line="360" w:lineRule="auto"/>
        <w:rPr>
          <w:rFonts w:asciiTheme="majorBidi" w:hAnsiTheme="majorBidi" w:cstheme="majorBidi"/>
        </w:rPr>
      </w:pPr>
    </w:p>
    <w:p w14:paraId="4EFFB75C" w14:textId="6737058D" w:rsidR="00117AF0" w:rsidRDefault="00117AF0" w:rsidP="00B16D8D">
      <w:pPr>
        <w:spacing w:line="360" w:lineRule="auto"/>
        <w:jc w:val="both"/>
        <w:rPr>
          <w:rFonts w:asciiTheme="majorBidi" w:hAnsiTheme="majorBidi" w:cstheme="majorBidi"/>
          <w:lang w:val="en-US"/>
        </w:rPr>
      </w:pPr>
      <w:r w:rsidRPr="00B16D8D">
        <w:rPr>
          <w:rFonts w:asciiTheme="majorBidi" w:hAnsiTheme="majorBidi" w:cstheme="majorBidi"/>
          <w:lang w:val="en-US"/>
        </w:rPr>
        <w:t>This paper sheds light on the impact of technological infrastructure and human capital on the performance and growth of Born-global firms (BGFs).</w:t>
      </w:r>
      <w:r w:rsidR="002E444F" w:rsidRPr="00B16D8D">
        <w:rPr>
          <w:rFonts w:asciiTheme="majorBidi" w:hAnsiTheme="majorBidi" w:cstheme="majorBidi"/>
          <w:lang w:val="en-US"/>
        </w:rPr>
        <w:t xml:space="preserve"> Since, these firms serve cross border clients before capturing the local market, it is important to study how cross border domestic technical and human resource capital determine their success. </w:t>
      </w:r>
      <w:r w:rsidR="004112CA" w:rsidRPr="00B16D8D">
        <w:rPr>
          <w:rFonts w:asciiTheme="majorBidi" w:hAnsiTheme="majorBidi" w:cstheme="majorBidi"/>
          <w:lang w:val="en-US"/>
        </w:rPr>
        <w:t>The majority of BGFs originates from well developed countries with advanced information and technological infrastructure, strong legal and contract enforcement, higher labor skills and literacy levels among others. These aforementioned factors contribute to the swift inception and launch of the BG</w:t>
      </w:r>
      <w:r w:rsidR="00C01DC8">
        <w:rPr>
          <w:rFonts w:asciiTheme="majorBidi" w:hAnsiTheme="majorBidi" w:cstheme="majorBidi"/>
          <w:lang w:val="en-US"/>
        </w:rPr>
        <w:t>F</w:t>
      </w:r>
      <w:r w:rsidR="004112CA" w:rsidRPr="00B16D8D">
        <w:rPr>
          <w:rFonts w:asciiTheme="majorBidi" w:hAnsiTheme="majorBidi" w:cstheme="majorBidi"/>
          <w:lang w:val="en-US"/>
        </w:rPr>
        <w:t xml:space="preserve">s. In contrast, the long run performance and sustainability depends on the technological infrastructure, human capital, and other macroeconomic factors in the host country. </w:t>
      </w:r>
      <w:r w:rsidR="002D123C" w:rsidRPr="00B16D8D">
        <w:rPr>
          <w:rFonts w:asciiTheme="majorBidi" w:hAnsiTheme="majorBidi" w:cstheme="majorBidi"/>
          <w:lang w:val="en-US"/>
        </w:rPr>
        <w:t>As</w:t>
      </w:r>
      <w:r w:rsidR="004112CA" w:rsidRPr="00B16D8D">
        <w:rPr>
          <w:rFonts w:asciiTheme="majorBidi" w:hAnsiTheme="majorBidi" w:cstheme="majorBidi"/>
          <w:lang w:val="en-US"/>
        </w:rPr>
        <w:t xml:space="preserve"> these types of firms </w:t>
      </w:r>
      <w:r w:rsidR="002D123C" w:rsidRPr="00B16D8D">
        <w:rPr>
          <w:rFonts w:asciiTheme="majorBidi" w:hAnsiTheme="majorBidi" w:cstheme="majorBidi"/>
          <w:lang w:val="en-US"/>
        </w:rPr>
        <w:t xml:space="preserve">have greater affairs abroad as compared to their domestic market, </w:t>
      </w:r>
      <w:r w:rsidR="004112CA" w:rsidRPr="00B16D8D">
        <w:rPr>
          <w:rFonts w:asciiTheme="majorBidi" w:hAnsiTheme="majorBidi" w:cstheme="majorBidi"/>
          <w:lang w:val="en-US"/>
        </w:rPr>
        <w:t xml:space="preserve">it is worth investigating the </w:t>
      </w:r>
      <w:r w:rsidR="00437363" w:rsidRPr="00B16D8D">
        <w:rPr>
          <w:rFonts w:asciiTheme="majorBidi" w:hAnsiTheme="majorBidi" w:cstheme="majorBidi"/>
          <w:lang w:val="en-US"/>
        </w:rPr>
        <w:t>cross-border</w:t>
      </w:r>
      <w:r w:rsidR="002D123C" w:rsidRPr="00B16D8D">
        <w:rPr>
          <w:rFonts w:asciiTheme="majorBidi" w:hAnsiTheme="majorBidi" w:cstheme="majorBidi"/>
          <w:lang w:val="en-US"/>
        </w:rPr>
        <w:t xml:space="preserve"> market dynamics to determine their potential growth and performance. </w:t>
      </w:r>
    </w:p>
    <w:p w14:paraId="52B8437D" w14:textId="0201EC7A" w:rsidR="00487532" w:rsidRDefault="00487532" w:rsidP="00B16D8D">
      <w:pPr>
        <w:spacing w:line="360" w:lineRule="auto"/>
        <w:jc w:val="both"/>
        <w:rPr>
          <w:rFonts w:asciiTheme="majorBidi" w:hAnsiTheme="majorBidi" w:cstheme="majorBidi"/>
          <w:lang w:val="en-US"/>
        </w:rPr>
      </w:pPr>
    </w:p>
    <w:p w14:paraId="210B2A54" w14:textId="51E78563" w:rsidR="00855DCD" w:rsidRDefault="003943A2" w:rsidP="00B16D8D">
      <w:pPr>
        <w:spacing w:line="360" w:lineRule="auto"/>
        <w:jc w:val="both"/>
        <w:rPr>
          <w:rFonts w:asciiTheme="majorBidi" w:hAnsiTheme="majorBidi" w:cstheme="majorBidi"/>
          <w:lang w:val="en-US"/>
        </w:rPr>
      </w:pPr>
      <w:r w:rsidRPr="00F6273E">
        <w:rPr>
          <w:rFonts w:asciiTheme="majorBidi" w:hAnsiTheme="majorBidi" w:cstheme="majorBidi"/>
          <w:b/>
          <w:bCs/>
          <w:lang w:val="en-US"/>
        </w:rPr>
        <w:t>To</w:t>
      </w:r>
      <w:r w:rsidR="00C01DC8" w:rsidRPr="00F6273E">
        <w:rPr>
          <w:rFonts w:asciiTheme="majorBidi" w:hAnsiTheme="majorBidi" w:cstheme="majorBidi"/>
          <w:b/>
          <w:bCs/>
          <w:lang w:val="en-US"/>
        </w:rPr>
        <w:t xml:space="preserve"> examine the factors that determine success or failure </w:t>
      </w:r>
      <w:r w:rsidR="00687315" w:rsidRPr="00F6273E">
        <w:rPr>
          <w:rFonts w:asciiTheme="majorBidi" w:hAnsiTheme="majorBidi" w:cstheme="majorBidi"/>
          <w:b/>
          <w:bCs/>
          <w:lang w:val="en-US"/>
        </w:rPr>
        <w:t xml:space="preserve">and performance </w:t>
      </w:r>
      <w:r w:rsidR="00C01DC8" w:rsidRPr="00F6273E">
        <w:rPr>
          <w:rFonts w:asciiTheme="majorBidi" w:hAnsiTheme="majorBidi" w:cstheme="majorBidi"/>
          <w:b/>
          <w:bCs/>
          <w:lang w:val="en-US"/>
        </w:rPr>
        <w:t>of BGFs</w:t>
      </w:r>
      <w:r w:rsidR="00487532">
        <w:rPr>
          <w:rFonts w:asciiTheme="majorBidi" w:hAnsiTheme="majorBidi" w:cstheme="majorBidi"/>
          <w:lang w:val="en-US"/>
        </w:rPr>
        <w:t xml:space="preserve">, </w:t>
      </w:r>
    </w:p>
    <w:p w14:paraId="39F50CB8" w14:textId="08F5BBF3" w:rsidR="00855DCD" w:rsidRDefault="00855DCD" w:rsidP="00B16D8D">
      <w:pPr>
        <w:spacing w:line="360" w:lineRule="auto"/>
        <w:jc w:val="both"/>
        <w:rPr>
          <w:rFonts w:asciiTheme="majorBidi" w:hAnsiTheme="majorBidi" w:cstheme="majorBidi"/>
          <w:lang w:val="en-US"/>
        </w:rPr>
      </w:pPr>
    </w:p>
    <w:p w14:paraId="5638093B" w14:textId="4518DDE9" w:rsidR="00855DCD" w:rsidRDefault="00855DCD" w:rsidP="00B16D8D">
      <w:pPr>
        <w:spacing w:line="360" w:lineRule="auto"/>
        <w:jc w:val="both"/>
        <w:rPr>
          <w:rFonts w:asciiTheme="majorBidi" w:hAnsiTheme="majorBidi" w:cstheme="majorBidi"/>
          <w:lang w:val="en-US"/>
        </w:rPr>
      </w:pPr>
      <w:r>
        <w:rPr>
          <w:rFonts w:asciiTheme="majorBidi" w:hAnsiTheme="majorBidi" w:cstheme="majorBidi"/>
          <w:lang w:val="en-US"/>
        </w:rPr>
        <w:t>East Asia and pacific</w:t>
      </w:r>
    </w:p>
    <w:p w14:paraId="66061367" w14:textId="12233581" w:rsidR="00BD59A1" w:rsidRDefault="00BD59A1" w:rsidP="00B16D8D">
      <w:pPr>
        <w:spacing w:line="360" w:lineRule="auto"/>
        <w:jc w:val="both"/>
        <w:rPr>
          <w:rFonts w:asciiTheme="majorBidi" w:hAnsiTheme="majorBidi" w:cstheme="majorBidi"/>
          <w:lang w:val="en-US"/>
        </w:rPr>
      </w:pPr>
    </w:p>
    <w:p w14:paraId="6BC85C98" w14:textId="6CDACA09" w:rsidR="00BD59A1" w:rsidRDefault="00BD59A1" w:rsidP="00B16D8D">
      <w:pPr>
        <w:spacing w:line="360" w:lineRule="auto"/>
        <w:jc w:val="both"/>
        <w:rPr>
          <w:rFonts w:asciiTheme="majorBidi" w:hAnsiTheme="majorBidi" w:cstheme="majorBidi"/>
          <w:lang w:val="en-US"/>
        </w:rPr>
      </w:pPr>
      <w:r>
        <w:rPr>
          <w:rFonts w:asciiTheme="majorBidi" w:hAnsiTheme="majorBidi" w:cstheme="majorBidi"/>
          <w:lang w:val="en-US"/>
        </w:rPr>
        <w:t>Firms to country level environment &gt;&gt;&gt;&gt;&gt;&gt;&gt;1111111</w:t>
      </w:r>
    </w:p>
    <w:p w14:paraId="2085A166" w14:textId="418D8FB6" w:rsidR="008B641D" w:rsidRDefault="008B641D" w:rsidP="00B16D8D">
      <w:pPr>
        <w:spacing w:line="360" w:lineRule="auto"/>
        <w:jc w:val="both"/>
        <w:rPr>
          <w:rFonts w:asciiTheme="majorBidi" w:hAnsiTheme="majorBidi" w:cstheme="majorBidi"/>
          <w:lang w:val="en-US"/>
        </w:rPr>
      </w:pPr>
    </w:p>
    <w:p w14:paraId="6ECF01CC" w14:textId="4EFDDBEA" w:rsidR="008B641D" w:rsidRDefault="008B641D" w:rsidP="00B16D8D">
      <w:pPr>
        <w:spacing w:line="360" w:lineRule="auto"/>
        <w:jc w:val="both"/>
        <w:rPr>
          <w:rFonts w:asciiTheme="majorBidi" w:hAnsiTheme="majorBidi" w:cstheme="majorBidi"/>
          <w:lang w:val="en-US"/>
        </w:rPr>
      </w:pPr>
      <w:r>
        <w:rPr>
          <w:rFonts w:asciiTheme="majorBidi" w:hAnsiTheme="majorBidi" w:cstheme="majorBidi"/>
          <w:lang w:val="en-US"/>
        </w:rPr>
        <w:t>Firms to firm level environment &gt;&gt;&gt;&gt;&gt;&gt;&gt;&gt;&gt;22222</w:t>
      </w:r>
    </w:p>
    <w:p w14:paraId="6360DE3A" w14:textId="77777777" w:rsidR="00BD59A1" w:rsidRDefault="00BD59A1" w:rsidP="00B16D8D">
      <w:pPr>
        <w:spacing w:line="360" w:lineRule="auto"/>
        <w:jc w:val="both"/>
        <w:rPr>
          <w:rFonts w:asciiTheme="majorBidi" w:hAnsiTheme="majorBidi" w:cstheme="majorBidi"/>
          <w:lang w:val="en-US"/>
        </w:rPr>
      </w:pPr>
    </w:p>
    <w:p w14:paraId="43FDF51E" w14:textId="77777777" w:rsidR="00855DCD" w:rsidRDefault="00855DCD" w:rsidP="00B16D8D">
      <w:pPr>
        <w:spacing w:line="360" w:lineRule="auto"/>
        <w:jc w:val="both"/>
        <w:rPr>
          <w:rFonts w:asciiTheme="majorBidi" w:hAnsiTheme="majorBidi" w:cstheme="majorBidi"/>
          <w:lang w:val="en-US"/>
        </w:rPr>
      </w:pPr>
    </w:p>
    <w:p w14:paraId="3C54460C" w14:textId="77777777" w:rsidR="00855DCD" w:rsidRDefault="00855DCD" w:rsidP="00B16D8D">
      <w:pPr>
        <w:spacing w:line="360" w:lineRule="auto"/>
        <w:jc w:val="both"/>
        <w:rPr>
          <w:rFonts w:asciiTheme="majorBidi" w:hAnsiTheme="majorBidi" w:cstheme="majorBidi"/>
          <w:lang w:val="en-US"/>
        </w:rPr>
      </w:pPr>
    </w:p>
    <w:p w14:paraId="69D891BC" w14:textId="77777777" w:rsidR="00855DCD" w:rsidRDefault="00855DCD" w:rsidP="00B16D8D">
      <w:pPr>
        <w:spacing w:line="360" w:lineRule="auto"/>
        <w:jc w:val="both"/>
        <w:rPr>
          <w:rFonts w:asciiTheme="majorBidi" w:hAnsiTheme="majorBidi" w:cstheme="majorBidi"/>
          <w:lang w:val="en-US"/>
        </w:rPr>
      </w:pPr>
    </w:p>
    <w:p w14:paraId="400D73B1" w14:textId="77777777" w:rsidR="00855DCD" w:rsidRDefault="00855DCD" w:rsidP="00B16D8D">
      <w:pPr>
        <w:spacing w:line="360" w:lineRule="auto"/>
        <w:jc w:val="both"/>
        <w:rPr>
          <w:rFonts w:asciiTheme="majorBidi" w:hAnsiTheme="majorBidi" w:cstheme="majorBidi"/>
          <w:lang w:val="en-US"/>
        </w:rPr>
      </w:pPr>
    </w:p>
    <w:p w14:paraId="580A8B3F" w14:textId="77777777" w:rsidR="00855DCD" w:rsidRDefault="00855DCD" w:rsidP="00B16D8D">
      <w:pPr>
        <w:spacing w:line="360" w:lineRule="auto"/>
        <w:jc w:val="both"/>
        <w:rPr>
          <w:rFonts w:asciiTheme="majorBidi" w:hAnsiTheme="majorBidi" w:cstheme="majorBidi"/>
          <w:lang w:val="en-US"/>
        </w:rPr>
      </w:pPr>
    </w:p>
    <w:p w14:paraId="60D8A295" w14:textId="77777777" w:rsidR="00855DCD" w:rsidRDefault="00855DCD" w:rsidP="00B16D8D">
      <w:pPr>
        <w:spacing w:line="360" w:lineRule="auto"/>
        <w:jc w:val="both"/>
        <w:rPr>
          <w:rFonts w:asciiTheme="majorBidi" w:hAnsiTheme="majorBidi" w:cstheme="majorBidi"/>
          <w:lang w:val="en-US"/>
        </w:rPr>
      </w:pPr>
    </w:p>
    <w:p w14:paraId="0B241B0F" w14:textId="77777777" w:rsidR="00855DCD" w:rsidRDefault="00855DCD" w:rsidP="00B16D8D">
      <w:pPr>
        <w:spacing w:line="360" w:lineRule="auto"/>
        <w:jc w:val="both"/>
        <w:rPr>
          <w:rFonts w:asciiTheme="majorBidi" w:hAnsiTheme="majorBidi" w:cstheme="majorBidi"/>
          <w:lang w:val="en-US"/>
        </w:rPr>
      </w:pPr>
    </w:p>
    <w:p w14:paraId="31FB07FB" w14:textId="77777777" w:rsidR="00855DCD" w:rsidRDefault="00855DCD" w:rsidP="00B16D8D">
      <w:pPr>
        <w:spacing w:line="360" w:lineRule="auto"/>
        <w:jc w:val="both"/>
        <w:rPr>
          <w:rFonts w:asciiTheme="majorBidi" w:hAnsiTheme="majorBidi" w:cstheme="majorBidi"/>
          <w:lang w:val="en-US"/>
        </w:rPr>
      </w:pPr>
    </w:p>
    <w:p w14:paraId="430BE2FA" w14:textId="77777777" w:rsidR="00855DCD" w:rsidRDefault="00855DCD" w:rsidP="00B16D8D">
      <w:pPr>
        <w:spacing w:line="360" w:lineRule="auto"/>
        <w:jc w:val="both"/>
        <w:rPr>
          <w:rFonts w:asciiTheme="majorBidi" w:hAnsiTheme="majorBidi" w:cstheme="majorBidi"/>
          <w:lang w:val="en-US"/>
        </w:rPr>
      </w:pPr>
    </w:p>
    <w:p w14:paraId="7F13A930" w14:textId="77777777" w:rsidR="00855DCD" w:rsidRDefault="00855DCD" w:rsidP="00B16D8D">
      <w:pPr>
        <w:spacing w:line="360" w:lineRule="auto"/>
        <w:jc w:val="both"/>
        <w:rPr>
          <w:rFonts w:asciiTheme="majorBidi" w:hAnsiTheme="majorBidi" w:cstheme="majorBidi"/>
          <w:lang w:val="en-US"/>
        </w:rPr>
      </w:pPr>
    </w:p>
    <w:p w14:paraId="52F5B7BD" w14:textId="77777777" w:rsidR="00855DCD" w:rsidRDefault="00855DCD" w:rsidP="00B16D8D">
      <w:pPr>
        <w:spacing w:line="360" w:lineRule="auto"/>
        <w:jc w:val="both"/>
        <w:rPr>
          <w:rFonts w:asciiTheme="majorBidi" w:hAnsiTheme="majorBidi" w:cstheme="majorBidi"/>
          <w:lang w:val="en-US"/>
        </w:rPr>
      </w:pPr>
    </w:p>
    <w:p w14:paraId="2C1A2EDA" w14:textId="77777777" w:rsidR="00855DCD" w:rsidRDefault="00855DCD" w:rsidP="00B16D8D">
      <w:pPr>
        <w:spacing w:line="360" w:lineRule="auto"/>
        <w:jc w:val="both"/>
        <w:rPr>
          <w:rFonts w:asciiTheme="majorBidi" w:hAnsiTheme="majorBidi" w:cstheme="majorBidi"/>
          <w:lang w:val="en-US"/>
        </w:rPr>
      </w:pPr>
    </w:p>
    <w:p w14:paraId="7FC31D81" w14:textId="77777777" w:rsidR="00855DCD" w:rsidRDefault="00855DCD" w:rsidP="00B16D8D">
      <w:pPr>
        <w:spacing w:line="360" w:lineRule="auto"/>
        <w:jc w:val="both"/>
        <w:rPr>
          <w:rFonts w:asciiTheme="majorBidi" w:hAnsiTheme="majorBidi" w:cstheme="majorBidi"/>
          <w:lang w:val="en-US"/>
        </w:rPr>
      </w:pPr>
    </w:p>
    <w:p w14:paraId="3F52432A" w14:textId="77777777" w:rsidR="00855DCD" w:rsidRDefault="00855DCD" w:rsidP="00B16D8D">
      <w:pPr>
        <w:spacing w:line="360" w:lineRule="auto"/>
        <w:jc w:val="both"/>
        <w:rPr>
          <w:rFonts w:asciiTheme="majorBidi" w:hAnsiTheme="majorBidi" w:cstheme="majorBidi"/>
          <w:lang w:val="en-US"/>
        </w:rPr>
      </w:pPr>
    </w:p>
    <w:p w14:paraId="1ED9C489" w14:textId="7B4FCC01" w:rsidR="00487532" w:rsidRDefault="00487532" w:rsidP="00B16D8D">
      <w:pPr>
        <w:spacing w:line="360" w:lineRule="auto"/>
        <w:jc w:val="both"/>
        <w:rPr>
          <w:rFonts w:asciiTheme="majorBidi" w:hAnsiTheme="majorBidi" w:cstheme="majorBidi"/>
          <w:lang w:val="en-US"/>
        </w:rPr>
      </w:pPr>
      <w:r>
        <w:rPr>
          <w:rFonts w:asciiTheme="majorBidi" w:hAnsiTheme="majorBidi" w:cstheme="majorBidi"/>
          <w:lang w:val="en-US"/>
        </w:rPr>
        <w:t xml:space="preserve">we </w:t>
      </w:r>
      <w:r w:rsidR="00E179F0">
        <w:rPr>
          <w:rFonts w:asciiTheme="majorBidi" w:hAnsiTheme="majorBidi" w:cstheme="majorBidi"/>
          <w:lang w:val="en-US"/>
        </w:rPr>
        <w:t xml:space="preserve">collect the data from various sources, such as </w:t>
      </w:r>
      <w:r w:rsidR="00726C9A">
        <w:rPr>
          <w:rFonts w:asciiTheme="majorBidi" w:hAnsiTheme="majorBidi" w:cstheme="majorBidi"/>
          <w:lang w:val="en-US"/>
        </w:rPr>
        <w:t>G</w:t>
      </w:r>
      <w:r w:rsidR="00E179F0">
        <w:rPr>
          <w:rFonts w:asciiTheme="majorBidi" w:hAnsiTheme="majorBidi" w:cstheme="majorBidi"/>
          <w:lang w:val="en-US"/>
        </w:rPr>
        <w:t xml:space="preserve">lobal financial development database, the World Bank, International Monetary Fund, </w:t>
      </w:r>
      <w:r w:rsidR="003943A2">
        <w:rPr>
          <w:rFonts w:asciiTheme="majorBidi" w:hAnsiTheme="majorBidi" w:cstheme="majorBidi"/>
          <w:lang w:val="en-US"/>
        </w:rPr>
        <w:t>Bloomberg,</w:t>
      </w:r>
      <w:r w:rsidR="00E179F0">
        <w:rPr>
          <w:rFonts w:asciiTheme="majorBidi" w:hAnsiTheme="majorBidi" w:cstheme="majorBidi"/>
          <w:lang w:val="en-US"/>
        </w:rPr>
        <w:t xml:space="preserve"> and international telecommunication union.</w:t>
      </w:r>
      <w:r w:rsidR="008953D9">
        <w:rPr>
          <w:rFonts w:asciiTheme="majorBidi" w:hAnsiTheme="majorBidi" w:cstheme="majorBidi"/>
          <w:lang w:val="en-US"/>
        </w:rPr>
        <w:t xml:space="preserve"> We merge</w:t>
      </w:r>
      <w:r w:rsidR="007F12F9">
        <w:rPr>
          <w:rFonts w:asciiTheme="majorBidi" w:hAnsiTheme="majorBidi" w:cstheme="majorBidi"/>
          <w:lang w:val="en-US"/>
        </w:rPr>
        <w:t xml:space="preserve"> cross country datasets with firm level indicators in the specific country</w:t>
      </w:r>
      <w:r w:rsidR="00DD6F4B">
        <w:rPr>
          <w:rFonts w:asciiTheme="majorBidi" w:hAnsiTheme="majorBidi" w:cstheme="majorBidi"/>
          <w:lang w:val="en-US"/>
        </w:rPr>
        <w:t xml:space="preserve"> and year. </w:t>
      </w:r>
      <w:r w:rsidR="00A23605">
        <w:rPr>
          <w:rFonts w:asciiTheme="majorBidi" w:hAnsiTheme="majorBidi" w:cstheme="majorBidi"/>
          <w:lang w:val="en-US"/>
        </w:rPr>
        <w:t xml:space="preserve">Consequently, we obtain an unbalanced panel data for our sample of </w:t>
      </w:r>
      <w:r w:rsidR="002A6E79">
        <w:rPr>
          <w:rFonts w:asciiTheme="majorBidi" w:hAnsiTheme="majorBidi" w:cstheme="majorBidi"/>
          <w:lang w:val="en-US"/>
        </w:rPr>
        <w:t xml:space="preserve">Asia-Pacific </w:t>
      </w:r>
      <w:r w:rsidR="00687315">
        <w:rPr>
          <w:rFonts w:asciiTheme="majorBidi" w:hAnsiTheme="majorBidi" w:cstheme="majorBidi"/>
          <w:lang w:val="en-US"/>
        </w:rPr>
        <w:t>region</w:t>
      </w:r>
      <w:r w:rsidR="00A23605">
        <w:rPr>
          <w:rFonts w:asciiTheme="majorBidi" w:hAnsiTheme="majorBidi" w:cstheme="majorBidi"/>
          <w:lang w:val="en-US"/>
        </w:rPr>
        <w:t xml:space="preserve">. </w:t>
      </w:r>
      <w:r w:rsidR="005E6B19">
        <w:rPr>
          <w:rFonts w:asciiTheme="majorBidi" w:hAnsiTheme="majorBidi" w:cstheme="majorBidi"/>
          <w:lang w:val="en-US"/>
        </w:rPr>
        <w:t>Table 1</w:t>
      </w:r>
      <w:r w:rsidR="008D587E">
        <w:rPr>
          <w:rFonts w:asciiTheme="majorBidi" w:hAnsiTheme="majorBidi" w:cstheme="majorBidi"/>
          <w:lang w:val="en-US"/>
        </w:rPr>
        <w:t xml:space="preserve"> presents detailed information of our variables of concerns and their respective sources. </w:t>
      </w:r>
      <w:r w:rsidR="002A1533">
        <w:rPr>
          <w:rFonts w:asciiTheme="majorBidi" w:hAnsiTheme="majorBidi" w:cstheme="majorBidi"/>
          <w:lang w:val="en-US"/>
        </w:rPr>
        <w:t>We list several alternate proxies to measure human capital and technological infrastructure</w:t>
      </w:r>
      <w:r w:rsidR="00803437">
        <w:rPr>
          <w:rFonts w:asciiTheme="majorBidi" w:hAnsiTheme="majorBidi" w:cstheme="majorBidi"/>
          <w:lang w:val="en-US"/>
        </w:rPr>
        <w:t xml:space="preserve">, that will allow us to capture the impact of each dimension in a more comprehensive way. </w:t>
      </w:r>
      <w:r w:rsidR="00361E2F">
        <w:rPr>
          <w:rFonts w:asciiTheme="majorBidi" w:hAnsiTheme="majorBidi" w:cstheme="majorBidi"/>
          <w:lang w:val="en-US"/>
        </w:rPr>
        <w:t xml:space="preserve">We will </w:t>
      </w:r>
      <w:r w:rsidR="00846752">
        <w:rPr>
          <w:rFonts w:asciiTheme="majorBidi" w:hAnsiTheme="majorBidi" w:cstheme="majorBidi"/>
          <w:lang w:val="en-US"/>
        </w:rPr>
        <w:t xml:space="preserve">also </w:t>
      </w:r>
      <w:r w:rsidR="00361E2F">
        <w:rPr>
          <w:rFonts w:asciiTheme="majorBidi" w:hAnsiTheme="majorBidi" w:cstheme="majorBidi"/>
          <w:lang w:val="en-US"/>
        </w:rPr>
        <w:t>construc</w:t>
      </w:r>
      <w:r w:rsidR="006B0A64">
        <w:rPr>
          <w:rFonts w:asciiTheme="majorBidi" w:hAnsiTheme="majorBidi" w:cstheme="majorBidi"/>
          <w:lang w:val="en-US"/>
        </w:rPr>
        <w:t xml:space="preserve">t </w:t>
      </w:r>
      <w:r w:rsidR="00361E2F">
        <w:rPr>
          <w:rFonts w:asciiTheme="majorBidi" w:hAnsiTheme="majorBidi" w:cstheme="majorBidi"/>
          <w:lang w:val="en-US"/>
        </w:rPr>
        <w:t xml:space="preserve">index of the technological infrastructure </w:t>
      </w:r>
      <w:r w:rsidR="006B0A64">
        <w:rPr>
          <w:rFonts w:asciiTheme="majorBidi" w:hAnsiTheme="majorBidi" w:cstheme="majorBidi"/>
          <w:lang w:val="en-US"/>
        </w:rPr>
        <w:t>and</w:t>
      </w:r>
      <w:r w:rsidR="00846752">
        <w:rPr>
          <w:rFonts w:asciiTheme="majorBidi" w:hAnsiTheme="majorBidi" w:cstheme="majorBidi"/>
          <w:lang w:val="en-US"/>
        </w:rPr>
        <w:t xml:space="preserve"> the index of</w:t>
      </w:r>
      <w:r w:rsidR="006B0A64">
        <w:rPr>
          <w:rFonts w:asciiTheme="majorBidi" w:hAnsiTheme="majorBidi" w:cstheme="majorBidi"/>
          <w:lang w:val="en-US"/>
        </w:rPr>
        <w:t xml:space="preserve"> human </w:t>
      </w:r>
      <w:r w:rsidR="006A3A96">
        <w:rPr>
          <w:rFonts w:asciiTheme="majorBidi" w:hAnsiTheme="majorBidi" w:cstheme="majorBidi"/>
          <w:lang w:val="en-US"/>
        </w:rPr>
        <w:t>capital with</w:t>
      </w:r>
      <w:r w:rsidR="00361E2F">
        <w:rPr>
          <w:rFonts w:asciiTheme="majorBidi" w:hAnsiTheme="majorBidi" w:cstheme="majorBidi"/>
          <w:lang w:val="en-US"/>
        </w:rPr>
        <w:t xml:space="preserve"> the help of principal component analysis.</w:t>
      </w:r>
      <w:r w:rsidR="00C6431B">
        <w:rPr>
          <w:rFonts w:asciiTheme="majorBidi" w:hAnsiTheme="majorBidi" w:cstheme="majorBidi"/>
          <w:lang w:val="en-US"/>
        </w:rPr>
        <w:t xml:space="preserve"> The appropriate methodology that could be used here is pooled regression, fixed/random effects</w:t>
      </w:r>
      <w:r w:rsidR="008472A7">
        <w:rPr>
          <w:rFonts w:asciiTheme="majorBidi" w:hAnsiTheme="majorBidi" w:cstheme="majorBidi"/>
          <w:lang w:val="en-US"/>
        </w:rPr>
        <w:t xml:space="preserve">, instrument variable regression or GMM, Generalized method of moments. </w:t>
      </w:r>
    </w:p>
    <w:p w14:paraId="6EC3C591" w14:textId="77777777" w:rsidR="00987633" w:rsidRDefault="00F90E00" w:rsidP="00987633">
      <w:pPr>
        <w:spacing w:line="360" w:lineRule="auto"/>
        <w:jc w:val="both"/>
        <w:rPr>
          <w:rFonts w:asciiTheme="majorBidi" w:hAnsiTheme="majorBidi" w:cstheme="majorBidi"/>
          <w:lang w:val="en-US"/>
        </w:rPr>
      </w:pPr>
      <w:r w:rsidRPr="00A90FE1">
        <w:rPr>
          <w:rFonts w:asciiTheme="majorBidi" w:hAnsiTheme="majorBidi" w:cstheme="majorBidi"/>
          <w:b/>
          <w:bCs/>
          <w:lang w:val="en-US"/>
        </w:rPr>
        <w:t>Keywords</w:t>
      </w:r>
      <w:r>
        <w:rPr>
          <w:rFonts w:asciiTheme="majorBidi" w:hAnsiTheme="majorBidi" w:cstheme="majorBidi"/>
          <w:lang w:val="en-US"/>
        </w:rPr>
        <w:t xml:space="preserve">: </w:t>
      </w:r>
      <w:r w:rsidR="00DB1BCB">
        <w:rPr>
          <w:rFonts w:asciiTheme="majorBidi" w:hAnsiTheme="majorBidi" w:cstheme="majorBidi"/>
          <w:lang w:val="en-US"/>
        </w:rPr>
        <w:t>Technology, Human Capital, BGFs</w:t>
      </w:r>
      <w:r w:rsidR="006A16F2">
        <w:rPr>
          <w:rFonts w:asciiTheme="majorBidi" w:hAnsiTheme="majorBidi" w:cstheme="majorBidi"/>
          <w:lang w:val="en-US"/>
        </w:rPr>
        <w:t xml:space="preserve">, </w:t>
      </w:r>
      <w:r w:rsidR="003357A1" w:rsidRPr="00B16D8D">
        <w:rPr>
          <w:rFonts w:asciiTheme="majorBidi" w:hAnsiTheme="majorBidi" w:cstheme="majorBidi"/>
          <w:lang w:val="en-US"/>
        </w:rPr>
        <w:t>performance and sustainability</w:t>
      </w:r>
      <w:r w:rsidR="002329E0">
        <w:rPr>
          <w:rFonts w:asciiTheme="majorBidi" w:hAnsiTheme="majorBidi" w:cstheme="majorBidi"/>
          <w:lang w:val="en-US"/>
        </w:rPr>
        <w:t>.</w:t>
      </w:r>
    </w:p>
    <w:p w14:paraId="132D8854" w14:textId="664B3882" w:rsidR="00A50E28" w:rsidRPr="00987633" w:rsidRDefault="00A50E28" w:rsidP="00987633">
      <w:pPr>
        <w:spacing w:line="360" w:lineRule="auto"/>
        <w:jc w:val="both"/>
        <w:rPr>
          <w:rFonts w:asciiTheme="majorBidi" w:hAnsiTheme="majorBidi" w:cstheme="majorBidi"/>
          <w:lang w:val="en-US"/>
        </w:rPr>
      </w:pPr>
      <w:r w:rsidRPr="009F59B0">
        <w:rPr>
          <w:rFonts w:asciiTheme="majorBidi" w:hAnsiTheme="majorBidi" w:cstheme="majorBidi"/>
          <w:b/>
          <w:bCs/>
          <w:lang w:val="en-US"/>
        </w:rPr>
        <w:t>Table</w:t>
      </w:r>
      <w:r w:rsidR="00846752">
        <w:rPr>
          <w:rFonts w:asciiTheme="majorBidi" w:hAnsiTheme="majorBidi" w:cstheme="majorBidi"/>
          <w:b/>
          <w:bCs/>
          <w:lang w:val="en-US"/>
        </w:rPr>
        <w:t xml:space="preserve"> 1</w:t>
      </w:r>
      <w:r w:rsidRPr="009F59B0">
        <w:rPr>
          <w:rFonts w:asciiTheme="majorBidi" w:hAnsiTheme="majorBidi" w:cstheme="majorBidi"/>
          <w:b/>
          <w:bCs/>
          <w:lang w:val="en-US"/>
        </w:rPr>
        <w:t>: Variables and sources</w:t>
      </w:r>
    </w:p>
    <w:tbl>
      <w:tblPr>
        <w:tblStyle w:val="TableGrid"/>
        <w:tblW w:w="0" w:type="auto"/>
        <w:tblLook w:val="04A0" w:firstRow="1" w:lastRow="0" w:firstColumn="1" w:lastColumn="0" w:noHBand="0" w:noVBand="1"/>
      </w:tblPr>
      <w:tblGrid>
        <w:gridCol w:w="3252"/>
        <w:gridCol w:w="3628"/>
        <w:gridCol w:w="2136"/>
      </w:tblGrid>
      <w:tr w:rsidR="001A7550" w14:paraId="4CACA9D8" w14:textId="77777777" w:rsidTr="00311176">
        <w:tc>
          <w:tcPr>
            <w:tcW w:w="3539" w:type="dxa"/>
          </w:tcPr>
          <w:p w14:paraId="3722C507" w14:textId="71D6BBCA" w:rsidR="00311176" w:rsidRPr="006E7BFC" w:rsidRDefault="005378A0" w:rsidP="00B16D8D">
            <w:pPr>
              <w:spacing w:line="360" w:lineRule="auto"/>
              <w:jc w:val="both"/>
              <w:rPr>
                <w:rFonts w:asciiTheme="majorBidi" w:hAnsiTheme="majorBidi" w:cstheme="majorBidi"/>
                <w:b/>
                <w:bCs/>
                <w:lang w:val="en-US"/>
              </w:rPr>
            </w:pPr>
            <w:r w:rsidRPr="006E7BFC">
              <w:rPr>
                <w:rFonts w:asciiTheme="majorBidi" w:hAnsiTheme="majorBidi" w:cstheme="majorBidi"/>
                <w:b/>
                <w:bCs/>
                <w:lang w:val="en-US"/>
              </w:rPr>
              <w:t>Category</w:t>
            </w:r>
          </w:p>
        </w:tc>
        <w:tc>
          <w:tcPr>
            <w:tcW w:w="3969" w:type="dxa"/>
          </w:tcPr>
          <w:p w14:paraId="4BED6A58" w14:textId="1398B879" w:rsidR="00311176" w:rsidRPr="006E7BFC" w:rsidRDefault="005378A0" w:rsidP="00B16D8D">
            <w:pPr>
              <w:spacing w:line="360" w:lineRule="auto"/>
              <w:jc w:val="both"/>
              <w:rPr>
                <w:rFonts w:asciiTheme="majorBidi" w:hAnsiTheme="majorBidi" w:cstheme="majorBidi"/>
                <w:b/>
                <w:bCs/>
                <w:lang w:val="en-US"/>
              </w:rPr>
            </w:pPr>
            <w:r w:rsidRPr="006E7BFC">
              <w:rPr>
                <w:rFonts w:asciiTheme="majorBidi" w:hAnsiTheme="majorBidi" w:cstheme="majorBidi"/>
                <w:b/>
                <w:bCs/>
                <w:lang w:val="en-US"/>
              </w:rPr>
              <w:t>Variables</w:t>
            </w:r>
          </w:p>
        </w:tc>
        <w:tc>
          <w:tcPr>
            <w:tcW w:w="1508" w:type="dxa"/>
          </w:tcPr>
          <w:p w14:paraId="6E1592C6" w14:textId="255566CD" w:rsidR="00311176" w:rsidRPr="006E7BFC" w:rsidRDefault="005378A0" w:rsidP="00B16D8D">
            <w:pPr>
              <w:spacing w:line="360" w:lineRule="auto"/>
              <w:jc w:val="both"/>
              <w:rPr>
                <w:rFonts w:asciiTheme="majorBidi" w:hAnsiTheme="majorBidi" w:cstheme="majorBidi"/>
                <w:b/>
                <w:bCs/>
                <w:lang w:val="en-US"/>
              </w:rPr>
            </w:pPr>
            <w:r w:rsidRPr="006E7BFC">
              <w:rPr>
                <w:rFonts w:asciiTheme="majorBidi" w:hAnsiTheme="majorBidi" w:cstheme="majorBidi"/>
                <w:b/>
                <w:bCs/>
                <w:lang w:val="en-US"/>
              </w:rPr>
              <w:t>Source</w:t>
            </w:r>
          </w:p>
        </w:tc>
      </w:tr>
      <w:tr w:rsidR="001A7550" w14:paraId="001F0639" w14:textId="77777777" w:rsidTr="00311176">
        <w:tc>
          <w:tcPr>
            <w:tcW w:w="3539" w:type="dxa"/>
          </w:tcPr>
          <w:p w14:paraId="16FC9D50" w14:textId="21E7B5AD" w:rsidR="00311176" w:rsidRDefault="00311176" w:rsidP="00311176">
            <w:pPr>
              <w:spacing w:line="360" w:lineRule="auto"/>
              <w:jc w:val="both"/>
              <w:rPr>
                <w:rFonts w:asciiTheme="majorBidi" w:hAnsiTheme="majorBidi" w:cstheme="majorBidi"/>
                <w:lang w:val="en-US"/>
              </w:rPr>
            </w:pPr>
            <w:r w:rsidRPr="00311176">
              <w:rPr>
                <w:rFonts w:asciiTheme="majorBidi" w:hAnsiTheme="majorBidi" w:cstheme="majorBidi"/>
                <w:b/>
                <w:bCs/>
                <w:lang w:val="en-US"/>
              </w:rPr>
              <w:t>Financial Sector Development</w:t>
            </w:r>
          </w:p>
        </w:tc>
        <w:tc>
          <w:tcPr>
            <w:tcW w:w="3969" w:type="dxa"/>
          </w:tcPr>
          <w:p w14:paraId="742BB15E" w14:textId="5ECB23ED" w:rsidR="00311176" w:rsidRDefault="00311176" w:rsidP="00B16D8D">
            <w:pPr>
              <w:spacing w:line="360" w:lineRule="auto"/>
              <w:jc w:val="both"/>
              <w:rPr>
                <w:rFonts w:asciiTheme="majorBidi" w:hAnsiTheme="majorBidi" w:cstheme="majorBidi"/>
                <w:lang w:val="en-US"/>
              </w:rPr>
            </w:pPr>
            <w:r w:rsidRPr="00B16D8D">
              <w:rPr>
                <w:rFonts w:asciiTheme="majorBidi" w:hAnsiTheme="majorBidi" w:cstheme="majorBidi"/>
                <w:lang w:val="en-US"/>
              </w:rPr>
              <w:t>Banking sector development and Stock Market</w:t>
            </w:r>
          </w:p>
        </w:tc>
        <w:tc>
          <w:tcPr>
            <w:tcW w:w="1508" w:type="dxa"/>
          </w:tcPr>
          <w:p w14:paraId="4B4062E7" w14:textId="46A2C8A9" w:rsidR="00311176" w:rsidRDefault="00416EDA" w:rsidP="00B16D8D">
            <w:pPr>
              <w:spacing w:line="360" w:lineRule="auto"/>
              <w:jc w:val="both"/>
              <w:rPr>
                <w:rFonts w:asciiTheme="majorBidi" w:hAnsiTheme="majorBidi" w:cstheme="majorBidi"/>
                <w:lang w:val="en-US"/>
              </w:rPr>
            </w:pPr>
            <w:r w:rsidRPr="00416EDA">
              <w:rPr>
                <w:rFonts w:asciiTheme="majorBidi" w:hAnsiTheme="majorBidi" w:cstheme="majorBidi"/>
                <w:lang w:val="en-US"/>
              </w:rPr>
              <w:t>Global Financial Development Database</w:t>
            </w:r>
            <w:r>
              <w:rPr>
                <w:rFonts w:asciiTheme="majorBidi" w:hAnsiTheme="majorBidi" w:cstheme="majorBidi"/>
                <w:lang w:val="en-US"/>
              </w:rPr>
              <w:t>/IMF</w:t>
            </w:r>
          </w:p>
        </w:tc>
      </w:tr>
      <w:tr w:rsidR="001A7550" w14:paraId="087D346E" w14:textId="77777777" w:rsidTr="00311176">
        <w:tc>
          <w:tcPr>
            <w:tcW w:w="3539" w:type="dxa"/>
          </w:tcPr>
          <w:p w14:paraId="413E6511" w14:textId="4674D29A" w:rsidR="00311176" w:rsidRDefault="009B3C28" w:rsidP="00B16D8D">
            <w:pPr>
              <w:spacing w:line="360" w:lineRule="auto"/>
              <w:jc w:val="both"/>
              <w:rPr>
                <w:rFonts w:asciiTheme="majorBidi" w:hAnsiTheme="majorBidi" w:cstheme="majorBidi"/>
                <w:lang w:val="en-US"/>
              </w:rPr>
            </w:pPr>
            <w:r w:rsidRPr="00B16D8D">
              <w:rPr>
                <w:rFonts w:asciiTheme="majorBidi" w:hAnsiTheme="majorBidi" w:cstheme="majorBidi"/>
                <w:b/>
                <w:bCs/>
                <w:lang w:val="en-US"/>
              </w:rPr>
              <w:t>Macro-Economic Factors</w:t>
            </w:r>
          </w:p>
        </w:tc>
        <w:tc>
          <w:tcPr>
            <w:tcW w:w="3969" w:type="dxa"/>
          </w:tcPr>
          <w:p w14:paraId="38D51626" w14:textId="77777777" w:rsidR="004F3CCC" w:rsidRDefault="009B3C28" w:rsidP="009B3C28">
            <w:pPr>
              <w:spacing w:line="360" w:lineRule="auto"/>
              <w:jc w:val="both"/>
              <w:rPr>
                <w:rFonts w:asciiTheme="majorBidi" w:hAnsiTheme="majorBidi" w:cstheme="majorBidi"/>
                <w:lang w:val="en-US"/>
              </w:rPr>
            </w:pPr>
            <w:r w:rsidRPr="00B16D8D">
              <w:rPr>
                <w:rFonts w:asciiTheme="majorBidi" w:hAnsiTheme="majorBidi" w:cstheme="majorBidi"/>
                <w:lang w:val="en-US"/>
              </w:rPr>
              <w:t xml:space="preserve">GDP growth, </w:t>
            </w:r>
          </w:p>
          <w:p w14:paraId="09A08CAE" w14:textId="77777777" w:rsidR="004F3CCC" w:rsidRDefault="004F3CCC" w:rsidP="009B3C28">
            <w:pPr>
              <w:spacing w:line="360" w:lineRule="auto"/>
              <w:jc w:val="both"/>
              <w:rPr>
                <w:rFonts w:asciiTheme="majorBidi" w:hAnsiTheme="majorBidi" w:cstheme="majorBidi"/>
                <w:lang w:val="en-US"/>
              </w:rPr>
            </w:pPr>
          </w:p>
          <w:p w14:paraId="45C2D7D3" w14:textId="77777777" w:rsidR="004F3CCC" w:rsidRDefault="009B3C28" w:rsidP="009B3C28">
            <w:pPr>
              <w:spacing w:line="360" w:lineRule="auto"/>
              <w:jc w:val="both"/>
              <w:rPr>
                <w:rFonts w:asciiTheme="majorBidi" w:hAnsiTheme="majorBidi" w:cstheme="majorBidi"/>
                <w:lang w:val="en-US"/>
              </w:rPr>
            </w:pPr>
            <w:r w:rsidRPr="00B16D8D">
              <w:rPr>
                <w:rFonts w:asciiTheme="majorBidi" w:hAnsiTheme="majorBidi" w:cstheme="majorBidi"/>
                <w:lang w:val="en-US"/>
              </w:rPr>
              <w:t xml:space="preserve">Trade Openness, </w:t>
            </w:r>
          </w:p>
          <w:p w14:paraId="193DB7EF" w14:textId="77777777" w:rsidR="004F3CCC" w:rsidRDefault="004F3CCC" w:rsidP="009B3C28">
            <w:pPr>
              <w:spacing w:line="360" w:lineRule="auto"/>
              <w:jc w:val="both"/>
              <w:rPr>
                <w:rFonts w:asciiTheme="majorBidi" w:hAnsiTheme="majorBidi" w:cstheme="majorBidi"/>
                <w:lang w:val="en-US"/>
              </w:rPr>
            </w:pPr>
          </w:p>
          <w:p w14:paraId="1CA31ED5" w14:textId="77777777" w:rsidR="004F3CCC" w:rsidRDefault="009B3C28" w:rsidP="009B3C28">
            <w:pPr>
              <w:spacing w:line="360" w:lineRule="auto"/>
              <w:jc w:val="both"/>
              <w:rPr>
                <w:rFonts w:asciiTheme="majorBidi" w:hAnsiTheme="majorBidi" w:cstheme="majorBidi"/>
                <w:lang w:val="en-US"/>
              </w:rPr>
            </w:pPr>
            <w:r w:rsidRPr="00B16D8D">
              <w:rPr>
                <w:rFonts w:asciiTheme="majorBidi" w:hAnsiTheme="majorBidi" w:cstheme="majorBidi"/>
                <w:lang w:val="en-US"/>
              </w:rPr>
              <w:t>Foreign direct investment,</w:t>
            </w:r>
          </w:p>
          <w:p w14:paraId="3160AC56" w14:textId="77777777" w:rsidR="004F3CCC" w:rsidRDefault="004F3CCC" w:rsidP="009B3C28">
            <w:pPr>
              <w:spacing w:line="360" w:lineRule="auto"/>
              <w:jc w:val="both"/>
              <w:rPr>
                <w:rFonts w:asciiTheme="majorBidi" w:hAnsiTheme="majorBidi" w:cstheme="majorBidi"/>
                <w:lang w:val="en-US"/>
              </w:rPr>
            </w:pPr>
          </w:p>
          <w:p w14:paraId="47031E1E" w14:textId="77777777" w:rsidR="004F3CCC" w:rsidRDefault="004F3CCC" w:rsidP="009B3C28">
            <w:pPr>
              <w:spacing w:line="360" w:lineRule="auto"/>
              <w:jc w:val="both"/>
              <w:rPr>
                <w:rFonts w:asciiTheme="majorBidi" w:hAnsiTheme="majorBidi" w:cstheme="majorBidi"/>
                <w:lang w:val="en-US"/>
              </w:rPr>
            </w:pPr>
            <w:r>
              <w:rPr>
                <w:rFonts w:asciiTheme="majorBidi" w:hAnsiTheme="majorBidi" w:cstheme="majorBidi"/>
                <w:lang w:val="en-US"/>
              </w:rPr>
              <w:t>G</w:t>
            </w:r>
            <w:r w:rsidR="009B3C28" w:rsidRPr="00B16D8D">
              <w:rPr>
                <w:rFonts w:asciiTheme="majorBidi" w:hAnsiTheme="majorBidi" w:cstheme="majorBidi"/>
                <w:lang w:val="en-US"/>
              </w:rPr>
              <w:t xml:space="preserve">overnment expenditure, </w:t>
            </w:r>
          </w:p>
          <w:p w14:paraId="723E9FED" w14:textId="77777777" w:rsidR="004F3CCC" w:rsidRDefault="004F3CCC" w:rsidP="009B3C28">
            <w:pPr>
              <w:spacing w:line="360" w:lineRule="auto"/>
              <w:jc w:val="both"/>
              <w:rPr>
                <w:rFonts w:asciiTheme="majorBidi" w:hAnsiTheme="majorBidi" w:cstheme="majorBidi"/>
                <w:lang w:val="en-US"/>
              </w:rPr>
            </w:pPr>
          </w:p>
          <w:p w14:paraId="26910463" w14:textId="77777777" w:rsidR="004F3CCC" w:rsidRDefault="004F3CCC" w:rsidP="009B3C28">
            <w:pPr>
              <w:spacing w:line="360" w:lineRule="auto"/>
              <w:jc w:val="both"/>
              <w:rPr>
                <w:rFonts w:asciiTheme="majorBidi" w:hAnsiTheme="majorBidi" w:cstheme="majorBidi"/>
                <w:lang w:val="en-US"/>
              </w:rPr>
            </w:pPr>
            <w:r>
              <w:rPr>
                <w:rFonts w:asciiTheme="majorBidi" w:hAnsiTheme="majorBidi" w:cstheme="majorBidi"/>
                <w:lang w:val="en-US"/>
              </w:rPr>
              <w:t>C</w:t>
            </w:r>
            <w:r w:rsidR="009B3C28" w:rsidRPr="00B16D8D">
              <w:rPr>
                <w:rFonts w:asciiTheme="majorBidi" w:hAnsiTheme="majorBidi" w:cstheme="majorBidi"/>
                <w:lang w:val="en-US"/>
              </w:rPr>
              <w:t xml:space="preserve">ontract enforcement, </w:t>
            </w:r>
          </w:p>
          <w:p w14:paraId="1FFA9C15" w14:textId="77777777" w:rsidR="004F3CCC" w:rsidRDefault="004F3CCC" w:rsidP="009B3C28">
            <w:pPr>
              <w:spacing w:line="360" w:lineRule="auto"/>
              <w:jc w:val="both"/>
              <w:rPr>
                <w:rFonts w:asciiTheme="majorBidi" w:hAnsiTheme="majorBidi" w:cstheme="majorBidi"/>
                <w:lang w:val="en-US"/>
              </w:rPr>
            </w:pPr>
          </w:p>
          <w:p w14:paraId="50635E2F" w14:textId="77777777" w:rsidR="004F3CCC" w:rsidRDefault="004F3CCC" w:rsidP="009B3C28">
            <w:pPr>
              <w:spacing w:line="360" w:lineRule="auto"/>
              <w:jc w:val="both"/>
              <w:rPr>
                <w:rFonts w:asciiTheme="majorBidi" w:hAnsiTheme="majorBidi" w:cstheme="majorBidi"/>
                <w:lang w:val="en-US"/>
              </w:rPr>
            </w:pPr>
            <w:r>
              <w:rPr>
                <w:rFonts w:asciiTheme="majorBidi" w:hAnsiTheme="majorBidi" w:cstheme="majorBidi"/>
                <w:lang w:val="en-US"/>
              </w:rPr>
              <w:t>P</w:t>
            </w:r>
            <w:r w:rsidR="009B3C28" w:rsidRPr="00B16D8D">
              <w:rPr>
                <w:rFonts w:asciiTheme="majorBidi" w:hAnsiTheme="majorBidi" w:cstheme="majorBidi"/>
                <w:lang w:val="en-US"/>
              </w:rPr>
              <w:t xml:space="preserve">roperty rights protection, </w:t>
            </w:r>
          </w:p>
          <w:p w14:paraId="044766AE" w14:textId="77777777" w:rsidR="004F3CCC" w:rsidRDefault="004F3CCC" w:rsidP="009B3C28">
            <w:pPr>
              <w:spacing w:line="360" w:lineRule="auto"/>
              <w:jc w:val="both"/>
              <w:rPr>
                <w:rFonts w:asciiTheme="majorBidi" w:hAnsiTheme="majorBidi" w:cstheme="majorBidi"/>
                <w:lang w:val="en-US"/>
              </w:rPr>
            </w:pPr>
          </w:p>
          <w:p w14:paraId="665FF136" w14:textId="77777777" w:rsidR="004F3CCC" w:rsidRDefault="009B3C28" w:rsidP="009B3C28">
            <w:pPr>
              <w:spacing w:line="360" w:lineRule="auto"/>
              <w:jc w:val="both"/>
              <w:rPr>
                <w:rFonts w:asciiTheme="majorBidi" w:hAnsiTheme="majorBidi" w:cstheme="majorBidi"/>
                <w:lang w:val="en-US"/>
              </w:rPr>
            </w:pPr>
            <w:r w:rsidRPr="00B16D8D">
              <w:rPr>
                <w:rFonts w:asciiTheme="majorBidi" w:hAnsiTheme="majorBidi" w:cstheme="majorBidi"/>
                <w:lang w:val="en-US"/>
              </w:rPr>
              <w:t xml:space="preserve">Business environment, </w:t>
            </w:r>
          </w:p>
          <w:p w14:paraId="14AF89EF" w14:textId="77777777" w:rsidR="004F3CCC" w:rsidRDefault="004F3CCC" w:rsidP="009B3C28">
            <w:pPr>
              <w:spacing w:line="360" w:lineRule="auto"/>
              <w:jc w:val="both"/>
              <w:rPr>
                <w:rFonts w:asciiTheme="majorBidi" w:hAnsiTheme="majorBidi" w:cstheme="majorBidi"/>
                <w:lang w:val="en-US"/>
              </w:rPr>
            </w:pPr>
          </w:p>
          <w:p w14:paraId="3F38FEC3" w14:textId="77777777" w:rsidR="004F3CCC" w:rsidRDefault="009B3C28" w:rsidP="009B3C28">
            <w:pPr>
              <w:spacing w:line="360" w:lineRule="auto"/>
              <w:jc w:val="both"/>
              <w:rPr>
                <w:rFonts w:asciiTheme="majorBidi" w:hAnsiTheme="majorBidi" w:cstheme="majorBidi"/>
                <w:lang w:val="en-US"/>
              </w:rPr>
            </w:pPr>
            <w:r w:rsidRPr="00B16D8D">
              <w:rPr>
                <w:rFonts w:asciiTheme="majorBidi" w:hAnsiTheme="majorBidi" w:cstheme="majorBidi"/>
                <w:lang w:val="en-US"/>
              </w:rPr>
              <w:t xml:space="preserve">Ease of doing business, </w:t>
            </w:r>
          </w:p>
          <w:p w14:paraId="707AE73A" w14:textId="77777777" w:rsidR="004F3CCC" w:rsidRDefault="004F3CCC" w:rsidP="009B3C28">
            <w:pPr>
              <w:spacing w:line="360" w:lineRule="auto"/>
              <w:jc w:val="both"/>
              <w:rPr>
                <w:rFonts w:asciiTheme="majorBidi" w:hAnsiTheme="majorBidi" w:cstheme="majorBidi"/>
                <w:lang w:val="en-US"/>
              </w:rPr>
            </w:pPr>
          </w:p>
          <w:p w14:paraId="0DE1D6DB" w14:textId="77777777" w:rsidR="004F3CCC" w:rsidRDefault="009B3C28" w:rsidP="009B3C28">
            <w:pPr>
              <w:spacing w:line="360" w:lineRule="auto"/>
              <w:jc w:val="both"/>
              <w:rPr>
                <w:rFonts w:asciiTheme="majorBidi" w:hAnsiTheme="majorBidi" w:cstheme="majorBidi"/>
                <w:lang w:val="en-US"/>
              </w:rPr>
            </w:pPr>
            <w:r w:rsidRPr="00B16D8D">
              <w:rPr>
                <w:rFonts w:asciiTheme="majorBidi" w:hAnsiTheme="majorBidi" w:cstheme="majorBidi"/>
                <w:lang w:val="en-US"/>
              </w:rPr>
              <w:t xml:space="preserve">Competition, informality, </w:t>
            </w:r>
          </w:p>
          <w:p w14:paraId="088D5778" w14:textId="77777777" w:rsidR="004F3CCC" w:rsidRDefault="004F3CCC" w:rsidP="009B3C28">
            <w:pPr>
              <w:spacing w:line="360" w:lineRule="auto"/>
              <w:jc w:val="both"/>
              <w:rPr>
                <w:rFonts w:asciiTheme="majorBidi" w:hAnsiTheme="majorBidi" w:cstheme="majorBidi"/>
                <w:lang w:val="en-US"/>
              </w:rPr>
            </w:pPr>
          </w:p>
          <w:p w14:paraId="7E09F332" w14:textId="77777777" w:rsidR="004F3CCC" w:rsidRDefault="009B3C28" w:rsidP="009B3C28">
            <w:pPr>
              <w:spacing w:line="360" w:lineRule="auto"/>
              <w:jc w:val="both"/>
              <w:rPr>
                <w:rFonts w:asciiTheme="majorBidi" w:hAnsiTheme="majorBidi" w:cstheme="majorBidi"/>
                <w:lang w:val="en-US"/>
              </w:rPr>
            </w:pPr>
            <w:r w:rsidRPr="00B16D8D">
              <w:rPr>
                <w:rFonts w:asciiTheme="majorBidi" w:hAnsiTheme="majorBidi" w:cstheme="majorBidi"/>
                <w:lang w:val="en-US"/>
              </w:rPr>
              <w:t xml:space="preserve">Inflation rate, </w:t>
            </w:r>
          </w:p>
          <w:p w14:paraId="1899CBC3" w14:textId="77777777" w:rsidR="004F3CCC" w:rsidRDefault="004F3CCC" w:rsidP="009B3C28">
            <w:pPr>
              <w:spacing w:line="360" w:lineRule="auto"/>
              <w:jc w:val="both"/>
              <w:rPr>
                <w:rFonts w:asciiTheme="majorBidi" w:hAnsiTheme="majorBidi" w:cstheme="majorBidi"/>
                <w:lang w:val="en-US"/>
              </w:rPr>
            </w:pPr>
          </w:p>
          <w:p w14:paraId="71C71A93" w14:textId="77777777" w:rsidR="004F3CCC" w:rsidRDefault="004F3CCC" w:rsidP="009B3C28">
            <w:pPr>
              <w:spacing w:line="360" w:lineRule="auto"/>
              <w:jc w:val="both"/>
              <w:rPr>
                <w:rFonts w:asciiTheme="majorBidi" w:hAnsiTheme="majorBidi" w:cstheme="majorBidi"/>
                <w:lang w:val="en-US"/>
              </w:rPr>
            </w:pPr>
            <w:r>
              <w:rPr>
                <w:rFonts w:asciiTheme="majorBidi" w:hAnsiTheme="majorBidi" w:cstheme="majorBidi"/>
                <w:lang w:val="en-US"/>
              </w:rPr>
              <w:t>U</w:t>
            </w:r>
            <w:r w:rsidR="009B3C28" w:rsidRPr="00B16D8D">
              <w:rPr>
                <w:rFonts w:asciiTheme="majorBidi" w:hAnsiTheme="majorBidi" w:cstheme="majorBidi"/>
                <w:lang w:val="en-US"/>
              </w:rPr>
              <w:t xml:space="preserve">nemployment rate, </w:t>
            </w:r>
          </w:p>
          <w:p w14:paraId="64169980" w14:textId="77777777" w:rsidR="004F3CCC" w:rsidRDefault="004F3CCC" w:rsidP="009B3C28">
            <w:pPr>
              <w:spacing w:line="360" w:lineRule="auto"/>
              <w:jc w:val="both"/>
              <w:rPr>
                <w:rFonts w:asciiTheme="majorBidi" w:hAnsiTheme="majorBidi" w:cstheme="majorBidi"/>
                <w:lang w:val="en-US"/>
              </w:rPr>
            </w:pPr>
          </w:p>
          <w:p w14:paraId="1A5A768A" w14:textId="7E537E06" w:rsidR="009B3C28" w:rsidRPr="00B16D8D" w:rsidRDefault="009B3C28" w:rsidP="009B3C28">
            <w:pPr>
              <w:spacing w:line="360" w:lineRule="auto"/>
              <w:jc w:val="both"/>
              <w:rPr>
                <w:rFonts w:asciiTheme="majorBidi" w:hAnsiTheme="majorBidi" w:cstheme="majorBidi"/>
              </w:rPr>
            </w:pPr>
            <w:r w:rsidRPr="00B16D8D">
              <w:rPr>
                <w:rFonts w:asciiTheme="majorBidi" w:hAnsiTheme="majorBidi" w:cstheme="majorBidi"/>
                <w:lang w:val="en-US"/>
              </w:rPr>
              <w:t>Gross domestic fixed capital formation</w:t>
            </w:r>
          </w:p>
          <w:p w14:paraId="11B80509" w14:textId="77777777" w:rsidR="00311176" w:rsidRPr="009B3C28" w:rsidRDefault="00311176" w:rsidP="00B16D8D">
            <w:pPr>
              <w:spacing w:line="360" w:lineRule="auto"/>
              <w:jc w:val="both"/>
              <w:rPr>
                <w:rFonts w:asciiTheme="majorBidi" w:hAnsiTheme="majorBidi" w:cstheme="majorBidi"/>
              </w:rPr>
            </w:pPr>
          </w:p>
        </w:tc>
        <w:tc>
          <w:tcPr>
            <w:tcW w:w="1508" w:type="dxa"/>
          </w:tcPr>
          <w:p w14:paraId="5BA5F38C" w14:textId="2A564F34" w:rsidR="00311176" w:rsidRDefault="00A85ED7" w:rsidP="00B16D8D">
            <w:pPr>
              <w:spacing w:line="360" w:lineRule="auto"/>
              <w:jc w:val="both"/>
              <w:rPr>
                <w:rFonts w:asciiTheme="majorBidi" w:hAnsiTheme="majorBidi" w:cstheme="majorBidi"/>
                <w:lang w:val="en-US"/>
              </w:rPr>
            </w:pPr>
            <w:r>
              <w:rPr>
                <w:rFonts w:asciiTheme="majorBidi" w:hAnsiTheme="majorBidi" w:cstheme="majorBidi"/>
                <w:lang w:val="en-US"/>
              </w:rPr>
              <w:lastRenderedPageBreak/>
              <w:t>World Bank Development Indicators</w:t>
            </w:r>
            <w:r w:rsidR="001A7550">
              <w:rPr>
                <w:rFonts w:asciiTheme="majorBidi" w:hAnsiTheme="majorBidi" w:cstheme="majorBidi"/>
                <w:lang w:val="en-US"/>
              </w:rPr>
              <w:t>/ Enterprise Surveys/Doing Business</w:t>
            </w:r>
          </w:p>
        </w:tc>
      </w:tr>
      <w:tr w:rsidR="001A7550" w14:paraId="07D2909B" w14:textId="77777777" w:rsidTr="00311176">
        <w:tc>
          <w:tcPr>
            <w:tcW w:w="3539" w:type="dxa"/>
          </w:tcPr>
          <w:p w14:paraId="46510906" w14:textId="6F33B0D1" w:rsidR="00311176" w:rsidRDefault="009B3C28" w:rsidP="00B16D8D">
            <w:pPr>
              <w:spacing w:line="360" w:lineRule="auto"/>
              <w:jc w:val="both"/>
              <w:rPr>
                <w:rFonts w:asciiTheme="majorBidi" w:hAnsiTheme="majorBidi" w:cstheme="majorBidi"/>
                <w:lang w:val="en-US"/>
              </w:rPr>
            </w:pPr>
            <w:r w:rsidRPr="00B16D8D">
              <w:rPr>
                <w:rFonts w:asciiTheme="majorBidi" w:hAnsiTheme="majorBidi" w:cstheme="majorBidi"/>
                <w:b/>
                <w:bCs/>
                <w:lang w:val="en-US"/>
              </w:rPr>
              <w:t>Firm Level Variables</w:t>
            </w:r>
          </w:p>
        </w:tc>
        <w:tc>
          <w:tcPr>
            <w:tcW w:w="3969" w:type="dxa"/>
          </w:tcPr>
          <w:p w14:paraId="46BF72F9" w14:textId="5B7DA049" w:rsidR="009B3C28" w:rsidRPr="00B16D8D" w:rsidRDefault="009B3C28" w:rsidP="009B3C28">
            <w:pPr>
              <w:spacing w:line="360" w:lineRule="auto"/>
              <w:jc w:val="both"/>
              <w:rPr>
                <w:rFonts w:asciiTheme="majorBidi" w:hAnsiTheme="majorBidi" w:cstheme="majorBidi"/>
                <w:lang w:val="en-US"/>
              </w:rPr>
            </w:pPr>
            <w:r w:rsidRPr="00B16D8D">
              <w:rPr>
                <w:rFonts w:asciiTheme="majorBidi" w:hAnsiTheme="majorBidi" w:cstheme="majorBidi"/>
                <w:lang w:val="en-US"/>
              </w:rPr>
              <w:t xml:space="preserve">Firm Size, </w:t>
            </w:r>
            <w:r w:rsidR="001466BA">
              <w:rPr>
                <w:rFonts w:asciiTheme="majorBidi" w:hAnsiTheme="majorBidi" w:cstheme="majorBidi"/>
                <w:lang w:val="en-US"/>
              </w:rPr>
              <w:t>A</w:t>
            </w:r>
            <w:r w:rsidRPr="00B16D8D">
              <w:rPr>
                <w:rFonts w:asciiTheme="majorBidi" w:hAnsiTheme="majorBidi" w:cstheme="majorBidi"/>
                <w:lang w:val="en-US"/>
              </w:rPr>
              <w:t xml:space="preserve">ge, </w:t>
            </w:r>
            <w:r w:rsidR="001466BA">
              <w:rPr>
                <w:rFonts w:asciiTheme="majorBidi" w:hAnsiTheme="majorBidi" w:cstheme="majorBidi"/>
                <w:lang w:val="en-US"/>
              </w:rPr>
              <w:t>I</w:t>
            </w:r>
            <w:r w:rsidRPr="00B16D8D">
              <w:rPr>
                <w:rFonts w:asciiTheme="majorBidi" w:hAnsiTheme="majorBidi" w:cstheme="majorBidi"/>
                <w:lang w:val="en-US"/>
              </w:rPr>
              <w:t xml:space="preserve">ndustry, </w:t>
            </w:r>
            <w:r w:rsidR="001466BA">
              <w:rPr>
                <w:rFonts w:asciiTheme="majorBidi" w:hAnsiTheme="majorBidi" w:cstheme="majorBidi"/>
                <w:lang w:val="en-US"/>
              </w:rPr>
              <w:t>M</w:t>
            </w:r>
            <w:r w:rsidRPr="00B16D8D">
              <w:rPr>
                <w:rFonts w:asciiTheme="majorBidi" w:hAnsiTheme="majorBidi" w:cstheme="majorBidi"/>
                <w:lang w:val="en-US"/>
              </w:rPr>
              <w:t xml:space="preserve">arket </w:t>
            </w:r>
            <w:r w:rsidR="001466BA">
              <w:rPr>
                <w:rFonts w:asciiTheme="majorBidi" w:hAnsiTheme="majorBidi" w:cstheme="majorBidi"/>
                <w:lang w:val="en-US"/>
              </w:rPr>
              <w:t>C</w:t>
            </w:r>
            <w:r w:rsidRPr="00B16D8D">
              <w:rPr>
                <w:rFonts w:asciiTheme="majorBidi" w:hAnsiTheme="majorBidi" w:cstheme="majorBidi"/>
                <w:lang w:val="en-US"/>
              </w:rPr>
              <w:t xml:space="preserve">apitalization, </w:t>
            </w:r>
            <w:r w:rsidR="00BA539B">
              <w:rPr>
                <w:rFonts w:asciiTheme="majorBidi" w:hAnsiTheme="majorBidi" w:cstheme="majorBidi"/>
                <w:lang w:val="en-US"/>
              </w:rPr>
              <w:t>return</w:t>
            </w:r>
            <w:r w:rsidRPr="00B16D8D">
              <w:rPr>
                <w:rFonts w:asciiTheme="majorBidi" w:hAnsiTheme="majorBidi" w:cstheme="majorBidi"/>
                <w:lang w:val="en-US"/>
              </w:rPr>
              <w:t xml:space="preserve"> on assets, </w:t>
            </w:r>
            <w:r w:rsidR="006E7BFC">
              <w:rPr>
                <w:rFonts w:asciiTheme="majorBidi" w:hAnsiTheme="majorBidi" w:cstheme="majorBidi"/>
                <w:lang w:val="en-US"/>
              </w:rPr>
              <w:t>return</w:t>
            </w:r>
            <w:r w:rsidRPr="00B16D8D">
              <w:rPr>
                <w:rFonts w:asciiTheme="majorBidi" w:hAnsiTheme="majorBidi" w:cstheme="majorBidi"/>
                <w:lang w:val="en-US"/>
              </w:rPr>
              <w:t xml:space="preserve"> on </w:t>
            </w:r>
            <w:r w:rsidR="004F3CCC" w:rsidRPr="00B16D8D">
              <w:rPr>
                <w:rFonts w:asciiTheme="majorBidi" w:hAnsiTheme="majorBidi" w:cstheme="majorBidi"/>
                <w:lang w:val="en-US"/>
              </w:rPr>
              <w:t>equity,</w:t>
            </w:r>
            <w:r w:rsidR="004F3CCC">
              <w:rPr>
                <w:rFonts w:asciiTheme="majorBidi" w:hAnsiTheme="majorBidi" w:cstheme="majorBidi"/>
                <w:lang w:val="en-US"/>
              </w:rPr>
              <w:t xml:space="preserve"> </w:t>
            </w:r>
            <w:r w:rsidR="004F3CCC" w:rsidRPr="00B16D8D">
              <w:rPr>
                <w:rFonts w:asciiTheme="majorBidi" w:hAnsiTheme="majorBidi" w:cstheme="majorBidi"/>
                <w:lang w:val="en-US"/>
              </w:rPr>
              <w:t>Return</w:t>
            </w:r>
            <w:r w:rsidRPr="00B16D8D">
              <w:rPr>
                <w:rFonts w:asciiTheme="majorBidi" w:hAnsiTheme="majorBidi" w:cstheme="majorBidi"/>
                <w:lang w:val="en-US"/>
              </w:rPr>
              <w:t xml:space="preserve"> on invested capital, sales growth, profitability, debt ratio</w:t>
            </w:r>
          </w:p>
          <w:p w14:paraId="2DD3F356" w14:textId="77777777" w:rsidR="00311176" w:rsidRDefault="00311176" w:rsidP="00B16D8D">
            <w:pPr>
              <w:spacing w:line="360" w:lineRule="auto"/>
              <w:jc w:val="both"/>
              <w:rPr>
                <w:rFonts w:asciiTheme="majorBidi" w:hAnsiTheme="majorBidi" w:cstheme="majorBidi"/>
                <w:lang w:val="en-US"/>
              </w:rPr>
            </w:pPr>
          </w:p>
        </w:tc>
        <w:tc>
          <w:tcPr>
            <w:tcW w:w="1508" w:type="dxa"/>
          </w:tcPr>
          <w:p w14:paraId="372B0103" w14:textId="31C6E9B8" w:rsidR="00311176" w:rsidRDefault="00F14788" w:rsidP="00B16D8D">
            <w:pPr>
              <w:spacing w:line="360" w:lineRule="auto"/>
              <w:jc w:val="both"/>
              <w:rPr>
                <w:rFonts w:asciiTheme="majorBidi" w:hAnsiTheme="majorBidi" w:cstheme="majorBidi"/>
                <w:lang w:val="en-US"/>
              </w:rPr>
            </w:pPr>
            <w:r>
              <w:rPr>
                <w:rFonts w:asciiTheme="majorBidi" w:hAnsiTheme="majorBidi" w:cstheme="majorBidi"/>
                <w:lang w:val="en-US"/>
              </w:rPr>
              <w:t>Bloomberg/</w:t>
            </w:r>
            <w:r w:rsidR="009951B4">
              <w:rPr>
                <w:rFonts w:asciiTheme="majorBidi" w:hAnsiTheme="majorBidi" w:cstheme="majorBidi"/>
                <w:lang w:val="en-US"/>
              </w:rPr>
              <w:t>World scope</w:t>
            </w:r>
          </w:p>
        </w:tc>
      </w:tr>
      <w:tr w:rsidR="001A7550" w14:paraId="0A137149" w14:textId="77777777" w:rsidTr="00311176">
        <w:tc>
          <w:tcPr>
            <w:tcW w:w="3539" w:type="dxa"/>
          </w:tcPr>
          <w:p w14:paraId="34024CD9" w14:textId="4159EEC3" w:rsidR="00311176" w:rsidRDefault="009B3C28" w:rsidP="009B3C28">
            <w:pPr>
              <w:spacing w:line="360" w:lineRule="auto"/>
              <w:jc w:val="both"/>
              <w:rPr>
                <w:rFonts w:asciiTheme="majorBidi" w:hAnsiTheme="majorBidi" w:cstheme="majorBidi"/>
                <w:lang w:val="en-US"/>
              </w:rPr>
            </w:pPr>
            <w:r w:rsidRPr="00B16D8D">
              <w:rPr>
                <w:rFonts w:asciiTheme="majorBidi" w:hAnsiTheme="majorBidi" w:cstheme="majorBidi"/>
                <w:b/>
                <w:bCs/>
                <w:lang w:val="en-US"/>
              </w:rPr>
              <w:t>Human Capital</w:t>
            </w:r>
          </w:p>
        </w:tc>
        <w:tc>
          <w:tcPr>
            <w:tcW w:w="3969" w:type="dxa"/>
          </w:tcPr>
          <w:p w14:paraId="7E65AABB" w14:textId="77777777" w:rsidR="003A7C1E" w:rsidRDefault="00C45A8B" w:rsidP="009B3C28">
            <w:pPr>
              <w:spacing w:line="360" w:lineRule="auto"/>
              <w:rPr>
                <w:rFonts w:asciiTheme="majorBidi" w:hAnsiTheme="majorBidi" w:cstheme="majorBidi"/>
                <w:lang w:val="en-US"/>
              </w:rPr>
            </w:pPr>
            <w:r>
              <w:rPr>
                <w:rFonts w:asciiTheme="majorBidi" w:hAnsiTheme="majorBidi" w:cstheme="majorBidi"/>
                <w:lang w:val="en-US"/>
              </w:rPr>
              <w:t>A</w:t>
            </w:r>
            <w:r w:rsidR="009B3C28" w:rsidRPr="00B16D8D">
              <w:rPr>
                <w:rFonts w:asciiTheme="majorBidi" w:hAnsiTheme="majorBidi" w:cstheme="majorBidi"/>
                <w:lang w:val="en-US"/>
              </w:rPr>
              <w:t xml:space="preserve">verage years of schooling, </w:t>
            </w:r>
          </w:p>
          <w:p w14:paraId="40F4790F" w14:textId="77777777" w:rsidR="003A7C1E" w:rsidRDefault="003A7C1E" w:rsidP="009B3C28">
            <w:pPr>
              <w:spacing w:line="360" w:lineRule="auto"/>
              <w:rPr>
                <w:rFonts w:asciiTheme="majorBidi" w:hAnsiTheme="majorBidi" w:cstheme="majorBidi"/>
                <w:lang w:val="en-US"/>
              </w:rPr>
            </w:pPr>
          </w:p>
          <w:p w14:paraId="33A487B4" w14:textId="771B08A0" w:rsidR="003A7C1E" w:rsidRDefault="001466BA" w:rsidP="009B3C28">
            <w:pPr>
              <w:spacing w:line="360" w:lineRule="auto"/>
              <w:rPr>
                <w:rFonts w:asciiTheme="majorBidi" w:hAnsiTheme="majorBidi" w:cstheme="majorBidi"/>
                <w:lang w:val="en-US"/>
              </w:rPr>
            </w:pPr>
            <w:r>
              <w:rPr>
                <w:rFonts w:asciiTheme="majorBidi" w:hAnsiTheme="majorBidi" w:cstheme="majorBidi"/>
                <w:lang w:val="en-US"/>
              </w:rPr>
              <w:t>T</w:t>
            </w:r>
            <w:r w:rsidR="009B3C28" w:rsidRPr="00B16D8D">
              <w:rPr>
                <w:rFonts w:asciiTheme="majorBidi" w:hAnsiTheme="majorBidi" w:cstheme="majorBidi"/>
                <w:lang w:val="en-US"/>
              </w:rPr>
              <w:t xml:space="preserve">he proportion of the workforce that has completed high-school education or above, </w:t>
            </w:r>
          </w:p>
          <w:p w14:paraId="1F78E671" w14:textId="77777777" w:rsidR="003A7C1E" w:rsidRDefault="003A7C1E" w:rsidP="009B3C28">
            <w:pPr>
              <w:spacing w:line="360" w:lineRule="auto"/>
              <w:rPr>
                <w:rFonts w:asciiTheme="majorBidi" w:hAnsiTheme="majorBidi" w:cstheme="majorBidi"/>
                <w:lang w:val="en-US"/>
              </w:rPr>
            </w:pPr>
          </w:p>
          <w:p w14:paraId="7137A856" w14:textId="77777777" w:rsidR="003A7C1E" w:rsidRDefault="009B3C28" w:rsidP="009B3C28">
            <w:pPr>
              <w:spacing w:line="360" w:lineRule="auto"/>
              <w:rPr>
                <w:rFonts w:asciiTheme="majorBidi" w:hAnsiTheme="majorBidi" w:cstheme="majorBidi"/>
                <w:lang w:val="en-US"/>
              </w:rPr>
            </w:pPr>
            <w:r w:rsidRPr="00B16D8D">
              <w:rPr>
                <w:rFonts w:asciiTheme="majorBidi" w:hAnsiTheme="majorBidi" w:cstheme="majorBidi"/>
                <w:lang w:val="en-US"/>
              </w:rPr>
              <w:t>Jorgenson Fraumeni (J-F) lifetime income-based approach</w:t>
            </w:r>
            <w:r w:rsidR="003A7C1E">
              <w:rPr>
                <w:rFonts w:asciiTheme="majorBidi" w:hAnsiTheme="majorBidi" w:cstheme="majorBidi"/>
                <w:lang w:val="en-US"/>
              </w:rPr>
              <w:t xml:space="preserve">. </w:t>
            </w:r>
          </w:p>
          <w:p w14:paraId="1BFB684E" w14:textId="77777777" w:rsidR="003A7C1E" w:rsidRDefault="003A7C1E" w:rsidP="009B3C28">
            <w:pPr>
              <w:spacing w:line="360" w:lineRule="auto"/>
              <w:rPr>
                <w:rFonts w:asciiTheme="majorBidi" w:hAnsiTheme="majorBidi" w:cstheme="majorBidi"/>
                <w:lang w:val="en-US"/>
              </w:rPr>
            </w:pPr>
          </w:p>
          <w:p w14:paraId="703ECDD0" w14:textId="77777777" w:rsidR="003A7C1E" w:rsidRDefault="009B3C28" w:rsidP="009B3C28">
            <w:pPr>
              <w:spacing w:line="360" w:lineRule="auto"/>
              <w:rPr>
                <w:rFonts w:asciiTheme="majorBidi" w:hAnsiTheme="majorBidi" w:cstheme="majorBidi"/>
                <w:lang w:val="en-US"/>
              </w:rPr>
            </w:pPr>
            <w:r w:rsidRPr="00B16D8D">
              <w:rPr>
                <w:rFonts w:asciiTheme="majorBidi" w:hAnsiTheme="majorBidi" w:cstheme="majorBidi"/>
                <w:lang w:val="en-US"/>
              </w:rPr>
              <w:lastRenderedPageBreak/>
              <w:t xml:space="preserve">Share of population enrolled in colleges and universities, </w:t>
            </w:r>
          </w:p>
          <w:p w14:paraId="78515B31" w14:textId="77777777" w:rsidR="003A7C1E" w:rsidRDefault="003A7C1E" w:rsidP="009B3C28">
            <w:pPr>
              <w:spacing w:line="360" w:lineRule="auto"/>
              <w:rPr>
                <w:rFonts w:asciiTheme="majorBidi" w:hAnsiTheme="majorBidi" w:cstheme="majorBidi"/>
                <w:lang w:val="en-US"/>
              </w:rPr>
            </w:pPr>
          </w:p>
          <w:p w14:paraId="61881A97" w14:textId="540E471B" w:rsidR="003A7C1E" w:rsidRDefault="001466BA" w:rsidP="009B3C28">
            <w:pPr>
              <w:spacing w:line="360" w:lineRule="auto"/>
              <w:rPr>
                <w:rFonts w:asciiTheme="majorBidi" w:hAnsiTheme="majorBidi" w:cstheme="majorBidi"/>
                <w:lang w:val="en-US"/>
              </w:rPr>
            </w:pPr>
            <w:r>
              <w:rPr>
                <w:rFonts w:asciiTheme="majorBidi" w:hAnsiTheme="majorBidi" w:cstheme="majorBidi"/>
                <w:lang w:val="en-US"/>
              </w:rPr>
              <w:t>E</w:t>
            </w:r>
            <w:r w:rsidR="009B3C28" w:rsidRPr="00B16D8D">
              <w:rPr>
                <w:rFonts w:asciiTheme="majorBidi" w:hAnsiTheme="majorBidi" w:cstheme="majorBidi"/>
                <w:lang w:val="en-US"/>
              </w:rPr>
              <w:t xml:space="preserve">ducated workforce and training, </w:t>
            </w:r>
          </w:p>
          <w:p w14:paraId="34C725B4" w14:textId="77777777" w:rsidR="003A7C1E" w:rsidRDefault="003A7C1E" w:rsidP="009B3C28">
            <w:pPr>
              <w:spacing w:line="360" w:lineRule="auto"/>
              <w:rPr>
                <w:rFonts w:asciiTheme="majorBidi" w:hAnsiTheme="majorBidi" w:cstheme="majorBidi"/>
                <w:lang w:val="en-US"/>
              </w:rPr>
            </w:pPr>
          </w:p>
          <w:p w14:paraId="3FFD5A01" w14:textId="77777777" w:rsidR="003A7C1E" w:rsidRDefault="009B3C28" w:rsidP="003A7C1E">
            <w:pPr>
              <w:spacing w:line="360" w:lineRule="auto"/>
              <w:rPr>
                <w:rFonts w:asciiTheme="majorBidi" w:hAnsiTheme="majorBidi" w:cstheme="majorBidi"/>
                <w:lang w:val="en-US"/>
              </w:rPr>
            </w:pPr>
            <w:r w:rsidRPr="00B16D8D">
              <w:rPr>
                <w:rFonts w:asciiTheme="majorBidi" w:hAnsiTheme="majorBidi" w:cstheme="majorBidi"/>
                <w:lang w:val="en-US"/>
              </w:rPr>
              <w:t xml:space="preserve">Labor regulations, minimum wage, </w:t>
            </w:r>
          </w:p>
          <w:p w14:paraId="498AA4D3" w14:textId="77777777" w:rsidR="003A7C1E" w:rsidRDefault="003A7C1E" w:rsidP="003A7C1E">
            <w:pPr>
              <w:spacing w:line="360" w:lineRule="auto"/>
              <w:rPr>
                <w:rFonts w:asciiTheme="majorBidi" w:hAnsiTheme="majorBidi" w:cstheme="majorBidi"/>
                <w:lang w:val="en-US"/>
              </w:rPr>
            </w:pPr>
          </w:p>
          <w:p w14:paraId="5A4A2CDD" w14:textId="7572A0AB" w:rsidR="003A7C1E" w:rsidRDefault="009B3C28" w:rsidP="003A7C1E">
            <w:pPr>
              <w:spacing w:line="360" w:lineRule="auto"/>
              <w:rPr>
                <w:rFonts w:asciiTheme="majorBidi" w:hAnsiTheme="majorBidi" w:cstheme="majorBidi"/>
                <w:lang w:val="en-US"/>
              </w:rPr>
            </w:pPr>
            <w:r w:rsidRPr="00B16D8D">
              <w:rPr>
                <w:rFonts w:asciiTheme="majorBidi" w:hAnsiTheme="majorBidi" w:cstheme="majorBidi"/>
                <w:lang w:val="en-US"/>
              </w:rPr>
              <w:t xml:space="preserve">Primary Schooling Enrollment (% of Age Group), </w:t>
            </w:r>
          </w:p>
          <w:p w14:paraId="4AB7457E" w14:textId="77777777" w:rsidR="003A7C1E" w:rsidRDefault="003A7C1E" w:rsidP="009B3C28">
            <w:pPr>
              <w:spacing w:line="360" w:lineRule="auto"/>
              <w:rPr>
                <w:rFonts w:asciiTheme="majorBidi" w:hAnsiTheme="majorBidi" w:cstheme="majorBidi"/>
                <w:lang w:val="en-US"/>
              </w:rPr>
            </w:pPr>
          </w:p>
          <w:p w14:paraId="1DA55BD3" w14:textId="5A25DACE" w:rsidR="003A7C1E" w:rsidRDefault="009B3C28" w:rsidP="009B3C28">
            <w:pPr>
              <w:spacing w:line="360" w:lineRule="auto"/>
              <w:rPr>
                <w:rFonts w:asciiTheme="majorBidi" w:hAnsiTheme="majorBidi" w:cstheme="majorBidi"/>
                <w:lang w:val="en-US"/>
              </w:rPr>
            </w:pPr>
            <w:r w:rsidRPr="00B16D8D">
              <w:rPr>
                <w:rFonts w:asciiTheme="majorBidi" w:hAnsiTheme="majorBidi" w:cstheme="majorBidi"/>
                <w:lang w:val="en-US"/>
              </w:rPr>
              <w:t xml:space="preserve">Secondary </w:t>
            </w:r>
            <w:r w:rsidR="003A7C1E" w:rsidRPr="00B16D8D">
              <w:rPr>
                <w:rFonts w:asciiTheme="majorBidi" w:hAnsiTheme="majorBidi" w:cstheme="majorBidi"/>
                <w:lang w:val="en-US"/>
              </w:rPr>
              <w:t>Schooling (</w:t>
            </w:r>
            <w:r w:rsidRPr="00B16D8D">
              <w:rPr>
                <w:rFonts w:asciiTheme="majorBidi" w:hAnsiTheme="majorBidi" w:cstheme="majorBidi"/>
                <w:lang w:val="en-US"/>
              </w:rPr>
              <w:t xml:space="preserve">% of Age Group), </w:t>
            </w:r>
          </w:p>
          <w:p w14:paraId="4DC58762" w14:textId="77777777" w:rsidR="003A7C1E" w:rsidRDefault="003A7C1E" w:rsidP="009B3C28">
            <w:pPr>
              <w:spacing w:line="360" w:lineRule="auto"/>
              <w:rPr>
                <w:rFonts w:asciiTheme="majorBidi" w:hAnsiTheme="majorBidi" w:cstheme="majorBidi"/>
                <w:lang w:val="en-US"/>
              </w:rPr>
            </w:pPr>
          </w:p>
          <w:p w14:paraId="2B895E72" w14:textId="77777777" w:rsidR="003A7C1E" w:rsidRDefault="009B3C28" w:rsidP="009B3C28">
            <w:pPr>
              <w:spacing w:line="360" w:lineRule="auto"/>
              <w:rPr>
                <w:rFonts w:asciiTheme="majorBidi" w:hAnsiTheme="majorBidi" w:cstheme="majorBidi"/>
                <w:lang w:val="en-US"/>
              </w:rPr>
            </w:pPr>
            <w:r w:rsidRPr="00B16D8D">
              <w:rPr>
                <w:rFonts w:asciiTheme="majorBidi" w:hAnsiTheme="majorBidi" w:cstheme="majorBidi"/>
                <w:lang w:val="en-US"/>
              </w:rPr>
              <w:t xml:space="preserve">Literacy rate, </w:t>
            </w:r>
          </w:p>
          <w:p w14:paraId="1D0B25D4" w14:textId="77777777" w:rsidR="003A7C1E" w:rsidRDefault="003A7C1E" w:rsidP="009B3C28">
            <w:pPr>
              <w:spacing w:line="360" w:lineRule="auto"/>
              <w:rPr>
                <w:rFonts w:asciiTheme="majorBidi" w:hAnsiTheme="majorBidi" w:cstheme="majorBidi"/>
                <w:lang w:val="en-US"/>
              </w:rPr>
            </w:pPr>
          </w:p>
          <w:p w14:paraId="39CEB9ED" w14:textId="77777777" w:rsidR="003A7C1E" w:rsidRDefault="009B3C28" w:rsidP="009B3C28">
            <w:pPr>
              <w:spacing w:line="360" w:lineRule="auto"/>
              <w:rPr>
                <w:rFonts w:asciiTheme="majorBidi" w:hAnsiTheme="majorBidi" w:cstheme="majorBidi"/>
              </w:rPr>
            </w:pPr>
            <w:r w:rsidRPr="00B16D8D">
              <w:rPr>
                <w:rFonts w:asciiTheme="majorBidi" w:hAnsiTheme="majorBidi" w:cstheme="majorBidi"/>
                <w:lang w:val="en-US"/>
              </w:rPr>
              <w:t>Public Spending on Education (% of GDP),</w:t>
            </w:r>
            <w:r w:rsidRPr="00B16D8D">
              <w:rPr>
                <w:rFonts w:asciiTheme="majorBidi" w:hAnsiTheme="majorBidi" w:cstheme="majorBidi"/>
              </w:rPr>
              <w:t xml:space="preserve"> </w:t>
            </w:r>
          </w:p>
          <w:p w14:paraId="305E2AEA" w14:textId="77777777" w:rsidR="003A7C1E" w:rsidRDefault="003A7C1E" w:rsidP="009B3C28">
            <w:pPr>
              <w:spacing w:line="360" w:lineRule="auto"/>
              <w:rPr>
                <w:rFonts w:asciiTheme="majorBidi" w:hAnsiTheme="majorBidi" w:cstheme="majorBidi"/>
              </w:rPr>
            </w:pPr>
          </w:p>
          <w:p w14:paraId="58DD0B2E" w14:textId="77777777" w:rsidR="003A7C1E" w:rsidRDefault="009B3C28" w:rsidP="009B3C28">
            <w:pPr>
              <w:spacing w:line="360" w:lineRule="auto"/>
              <w:rPr>
                <w:rFonts w:asciiTheme="majorBidi" w:hAnsiTheme="majorBidi" w:cstheme="majorBidi"/>
                <w:lang w:val="en-US"/>
              </w:rPr>
            </w:pPr>
            <w:r w:rsidRPr="00B16D8D">
              <w:rPr>
                <w:rFonts w:asciiTheme="majorBidi" w:hAnsiTheme="majorBidi" w:cstheme="majorBidi"/>
                <w:lang w:val="en-US"/>
              </w:rPr>
              <w:t xml:space="preserve">Public spending on health (% of GDP),  </w:t>
            </w:r>
          </w:p>
          <w:p w14:paraId="0CB58A4F" w14:textId="77777777" w:rsidR="003A7C1E" w:rsidRDefault="003A7C1E" w:rsidP="009B3C28">
            <w:pPr>
              <w:spacing w:line="360" w:lineRule="auto"/>
              <w:rPr>
                <w:rFonts w:asciiTheme="majorBidi" w:hAnsiTheme="majorBidi" w:cstheme="majorBidi"/>
                <w:lang w:val="en-US"/>
              </w:rPr>
            </w:pPr>
          </w:p>
          <w:p w14:paraId="1112B2EF" w14:textId="77777777" w:rsidR="003A7C1E" w:rsidRDefault="009B3C28" w:rsidP="009B3C28">
            <w:pPr>
              <w:spacing w:line="360" w:lineRule="auto"/>
              <w:rPr>
                <w:rFonts w:asciiTheme="majorBidi" w:hAnsiTheme="majorBidi" w:cstheme="majorBidi"/>
                <w:lang w:val="en-US"/>
              </w:rPr>
            </w:pPr>
            <w:r w:rsidRPr="00B16D8D">
              <w:rPr>
                <w:rFonts w:asciiTheme="majorBidi" w:hAnsiTheme="majorBidi" w:cstheme="majorBidi"/>
                <w:lang w:val="en-US"/>
              </w:rPr>
              <w:t xml:space="preserve">Life Expectancy, </w:t>
            </w:r>
          </w:p>
          <w:p w14:paraId="334287D1" w14:textId="77777777" w:rsidR="003A7C1E" w:rsidRDefault="003A7C1E" w:rsidP="009B3C28">
            <w:pPr>
              <w:spacing w:line="360" w:lineRule="auto"/>
              <w:rPr>
                <w:rFonts w:asciiTheme="majorBidi" w:hAnsiTheme="majorBidi" w:cstheme="majorBidi"/>
                <w:lang w:val="en-US"/>
              </w:rPr>
            </w:pPr>
          </w:p>
          <w:p w14:paraId="5F1C43E2" w14:textId="18745F00" w:rsidR="009B3C28" w:rsidRPr="00B16D8D" w:rsidRDefault="001466BA" w:rsidP="009B3C28">
            <w:pPr>
              <w:spacing w:line="360" w:lineRule="auto"/>
              <w:rPr>
                <w:rFonts w:asciiTheme="majorBidi" w:hAnsiTheme="majorBidi" w:cstheme="majorBidi"/>
                <w:lang w:val="en-US"/>
              </w:rPr>
            </w:pPr>
            <w:r>
              <w:rPr>
                <w:rFonts w:asciiTheme="majorBidi" w:hAnsiTheme="majorBidi" w:cstheme="majorBidi"/>
                <w:lang w:val="en-US"/>
              </w:rPr>
              <w:t>H</w:t>
            </w:r>
            <w:r w:rsidR="009B3C28" w:rsidRPr="00B16D8D">
              <w:rPr>
                <w:rFonts w:asciiTheme="majorBidi" w:hAnsiTheme="majorBidi" w:cstheme="majorBidi"/>
                <w:lang w:val="en-US"/>
              </w:rPr>
              <w:t>uman capital index (UN)</w:t>
            </w:r>
          </w:p>
          <w:p w14:paraId="574ADFB2" w14:textId="77777777" w:rsidR="00311176" w:rsidRDefault="00311176" w:rsidP="00B16D8D">
            <w:pPr>
              <w:spacing w:line="360" w:lineRule="auto"/>
              <w:jc w:val="both"/>
              <w:rPr>
                <w:rFonts w:asciiTheme="majorBidi" w:hAnsiTheme="majorBidi" w:cstheme="majorBidi"/>
                <w:lang w:val="en-US"/>
              </w:rPr>
            </w:pPr>
          </w:p>
        </w:tc>
        <w:tc>
          <w:tcPr>
            <w:tcW w:w="1508" w:type="dxa"/>
          </w:tcPr>
          <w:p w14:paraId="6E7498B6" w14:textId="40F1BF36" w:rsidR="00311176" w:rsidRDefault="00CB4861" w:rsidP="00B16D8D">
            <w:pPr>
              <w:spacing w:line="360" w:lineRule="auto"/>
              <w:jc w:val="both"/>
              <w:rPr>
                <w:rFonts w:asciiTheme="majorBidi" w:hAnsiTheme="majorBidi" w:cstheme="majorBidi"/>
                <w:lang w:val="en-US"/>
              </w:rPr>
            </w:pPr>
            <w:r>
              <w:rPr>
                <w:rFonts w:asciiTheme="majorBidi" w:hAnsiTheme="majorBidi" w:cstheme="majorBidi"/>
                <w:lang w:val="en-US"/>
              </w:rPr>
              <w:lastRenderedPageBreak/>
              <w:t>World Bank/United Nations</w:t>
            </w:r>
          </w:p>
        </w:tc>
      </w:tr>
      <w:tr w:rsidR="00F14788" w14:paraId="683EAB43" w14:textId="77777777" w:rsidTr="00311176">
        <w:tc>
          <w:tcPr>
            <w:tcW w:w="3539" w:type="dxa"/>
          </w:tcPr>
          <w:p w14:paraId="2716C36B" w14:textId="77777777" w:rsidR="009B3C28" w:rsidRPr="00B16D8D" w:rsidRDefault="009B3C28" w:rsidP="009B3C28">
            <w:pPr>
              <w:spacing w:line="360" w:lineRule="auto"/>
              <w:jc w:val="both"/>
              <w:rPr>
                <w:rFonts w:asciiTheme="majorBidi" w:hAnsiTheme="majorBidi" w:cstheme="majorBidi"/>
                <w:b/>
                <w:bCs/>
                <w:lang w:val="en-US"/>
              </w:rPr>
            </w:pPr>
            <w:r w:rsidRPr="00B16D8D">
              <w:rPr>
                <w:rFonts w:asciiTheme="majorBidi" w:hAnsiTheme="majorBidi" w:cstheme="majorBidi"/>
                <w:b/>
                <w:bCs/>
                <w:lang w:val="en-US"/>
              </w:rPr>
              <w:t>ICT infrastructure indicators</w:t>
            </w:r>
          </w:p>
          <w:p w14:paraId="0AA64767" w14:textId="77777777" w:rsidR="009B3C28" w:rsidRDefault="009B3C28" w:rsidP="00B16D8D">
            <w:pPr>
              <w:spacing w:line="360" w:lineRule="auto"/>
              <w:jc w:val="both"/>
              <w:rPr>
                <w:rFonts w:asciiTheme="majorBidi" w:hAnsiTheme="majorBidi" w:cstheme="majorBidi"/>
                <w:lang w:val="en-US"/>
              </w:rPr>
            </w:pPr>
          </w:p>
        </w:tc>
        <w:tc>
          <w:tcPr>
            <w:tcW w:w="3969" w:type="dxa"/>
          </w:tcPr>
          <w:p w14:paraId="045F1C56" w14:textId="29629589" w:rsidR="009B3C28" w:rsidRDefault="00D51F00" w:rsidP="009B3C28">
            <w:pPr>
              <w:spacing w:line="360" w:lineRule="auto"/>
              <w:jc w:val="both"/>
              <w:rPr>
                <w:rFonts w:asciiTheme="majorBidi" w:hAnsiTheme="majorBidi" w:cstheme="majorBidi"/>
                <w:lang w:val="en-US"/>
              </w:rPr>
            </w:pPr>
            <w:r>
              <w:rPr>
                <w:rFonts w:asciiTheme="majorBidi" w:hAnsiTheme="majorBidi" w:cstheme="majorBidi"/>
                <w:lang w:val="en-US"/>
              </w:rPr>
              <w:t>F</w:t>
            </w:r>
            <w:r w:rsidR="009B3C28" w:rsidRPr="00B16D8D">
              <w:rPr>
                <w:rFonts w:asciiTheme="majorBidi" w:hAnsiTheme="majorBidi" w:cstheme="majorBidi"/>
              </w:rPr>
              <w:t>ixed-broadband subscriptions per 100 inhabitants,</w:t>
            </w:r>
            <w:r w:rsidR="009B3C28" w:rsidRPr="00B16D8D">
              <w:rPr>
                <w:rFonts w:asciiTheme="majorBidi" w:hAnsiTheme="majorBidi" w:cstheme="majorBidi"/>
                <w:lang w:val="en-US"/>
              </w:rPr>
              <w:t xml:space="preserve"> </w:t>
            </w:r>
          </w:p>
          <w:p w14:paraId="460F7B57" w14:textId="77777777" w:rsidR="00810E7E" w:rsidRPr="00B16D8D" w:rsidRDefault="00810E7E" w:rsidP="009B3C28">
            <w:pPr>
              <w:spacing w:line="360" w:lineRule="auto"/>
              <w:jc w:val="both"/>
              <w:rPr>
                <w:rFonts w:asciiTheme="majorBidi" w:hAnsiTheme="majorBidi" w:cstheme="majorBidi"/>
                <w:lang w:val="en-US"/>
              </w:rPr>
            </w:pPr>
          </w:p>
          <w:p w14:paraId="012525F8" w14:textId="0AAA6BD4" w:rsidR="00810E7E" w:rsidRDefault="001466BA" w:rsidP="009B3C28">
            <w:pPr>
              <w:spacing w:line="360" w:lineRule="auto"/>
              <w:jc w:val="both"/>
              <w:rPr>
                <w:rFonts w:asciiTheme="majorBidi" w:hAnsiTheme="majorBidi" w:cstheme="majorBidi"/>
              </w:rPr>
            </w:pPr>
            <w:r>
              <w:rPr>
                <w:rFonts w:asciiTheme="majorBidi" w:hAnsiTheme="majorBidi" w:cstheme="majorBidi"/>
                <w:lang w:val="en-US"/>
              </w:rPr>
              <w:t>P</w:t>
            </w:r>
            <w:r w:rsidR="009B3C28" w:rsidRPr="00B16D8D">
              <w:rPr>
                <w:rFonts w:asciiTheme="majorBidi" w:hAnsiTheme="majorBidi" w:cstheme="majorBidi"/>
              </w:rPr>
              <w:t>ercentage of households with a broadband Internet connection via home computer,</w:t>
            </w:r>
          </w:p>
          <w:p w14:paraId="09F4F82E" w14:textId="77777777" w:rsidR="001466BA" w:rsidRDefault="001466BA" w:rsidP="009B3C28">
            <w:pPr>
              <w:spacing w:line="360" w:lineRule="auto"/>
              <w:jc w:val="both"/>
              <w:rPr>
                <w:rFonts w:asciiTheme="majorBidi" w:hAnsiTheme="majorBidi" w:cstheme="majorBidi"/>
              </w:rPr>
            </w:pPr>
          </w:p>
          <w:p w14:paraId="10EB2102" w14:textId="61E4AF70" w:rsidR="00810E7E" w:rsidRDefault="001466BA" w:rsidP="009B3C28">
            <w:pPr>
              <w:spacing w:line="360" w:lineRule="auto"/>
              <w:jc w:val="both"/>
              <w:rPr>
                <w:rFonts w:asciiTheme="majorBidi" w:hAnsiTheme="majorBidi" w:cstheme="majorBidi"/>
                <w:lang w:val="en-US"/>
              </w:rPr>
            </w:pPr>
            <w:r>
              <w:rPr>
                <w:rFonts w:asciiTheme="majorBidi" w:hAnsiTheme="majorBidi" w:cstheme="majorBidi"/>
                <w:lang w:val="en-US"/>
              </w:rPr>
              <w:lastRenderedPageBreak/>
              <w:t>I</w:t>
            </w:r>
            <w:r w:rsidR="009B3C28" w:rsidRPr="00B16D8D">
              <w:rPr>
                <w:rFonts w:asciiTheme="majorBidi" w:hAnsiTheme="majorBidi" w:cstheme="majorBidi"/>
              </w:rPr>
              <w:t>nternet servers per million population</w:t>
            </w:r>
            <w:r w:rsidR="009B3C28" w:rsidRPr="00B16D8D">
              <w:rPr>
                <w:rFonts w:asciiTheme="majorBidi" w:hAnsiTheme="majorBidi" w:cstheme="majorBidi"/>
                <w:lang w:val="en-US"/>
              </w:rPr>
              <w:t xml:space="preserve">, </w:t>
            </w:r>
          </w:p>
          <w:p w14:paraId="5F381DE8" w14:textId="77777777" w:rsidR="001466BA" w:rsidRDefault="001466BA" w:rsidP="009B3C28">
            <w:pPr>
              <w:spacing w:line="360" w:lineRule="auto"/>
              <w:jc w:val="both"/>
              <w:rPr>
                <w:rFonts w:asciiTheme="majorBidi" w:hAnsiTheme="majorBidi" w:cstheme="majorBidi"/>
                <w:lang w:val="en-US"/>
              </w:rPr>
            </w:pPr>
          </w:p>
          <w:p w14:paraId="4FCEC018" w14:textId="0A64FC85" w:rsidR="009B3C28" w:rsidRDefault="001466BA" w:rsidP="009B3C28">
            <w:pPr>
              <w:spacing w:line="360" w:lineRule="auto"/>
              <w:jc w:val="both"/>
              <w:rPr>
                <w:rFonts w:asciiTheme="majorBidi" w:hAnsiTheme="majorBidi" w:cstheme="majorBidi"/>
              </w:rPr>
            </w:pPr>
            <w:r>
              <w:rPr>
                <w:rFonts w:asciiTheme="majorBidi" w:hAnsiTheme="majorBidi" w:cstheme="majorBidi"/>
                <w:lang w:val="en-US"/>
              </w:rPr>
              <w:t>P</w:t>
            </w:r>
            <w:r w:rsidR="009B3C28" w:rsidRPr="00B16D8D">
              <w:rPr>
                <w:rFonts w:asciiTheme="majorBidi" w:hAnsiTheme="majorBidi" w:cstheme="majorBidi"/>
              </w:rPr>
              <w:t>ercentage</w:t>
            </w:r>
            <w:r w:rsidR="009B3C28" w:rsidRPr="00B16D8D">
              <w:rPr>
                <w:rFonts w:asciiTheme="majorBidi" w:hAnsiTheme="majorBidi" w:cstheme="majorBidi"/>
                <w:lang w:val="en-US"/>
              </w:rPr>
              <w:t xml:space="preserve"> </w:t>
            </w:r>
            <w:r w:rsidR="009B3C28" w:rsidRPr="00B16D8D">
              <w:rPr>
                <w:rFonts w:asciiTheme="majorBidi" w:hAnsiTheme="majorBidi" w:cstheme="majorBidi"/>
              </w:rPr>
              <w:t xml:space="preserve">of individuals using the Internet, </w:t>
            </w:r>
          </w:p>
          <w:p w14:paraId="74C6C10C" w14:textId="77777777" w:rsidR="00810E7E" w:rsidRPr="00B16D8D" w:rsidRDefault="00810E7E" w:rsidP="009B3C28">
            <w:pPr>
              <w:spacing w:line="360" w:lineRule="auto"/>
              <w:jc w:val="both"/>
              <w:rPr>
                <w:rFonts w:asciiTheme="majorBidi" w:hAnsiTheme="majorBidi" w:cstheme="majorBidi"/>
              </w:rPr>
            </w:pPr>
          </w:p>
          <w:p w14:paraId="49AC430B" w14:textId="33979E77" w:rsidR="009B3C28" w:rsidRDefault="001466BA" w:rsidP="009B3C28">
            <w:pPr>
              <w:spacing w:line="360" w:lineRule="auto"/>
              <w:jc w:val="both"/>
              <w:rPr>
                <w:rFonts w:asciiTheme="majorBidi" w:hAnsiTheme="majorBidi" w:cstheme="majorBidi"/>
                <w:lang w:val="en-US"/>
              </w:rPr>
            </w:pPr>
            <w:r>
              <w:rPr>
                <w:rFonts w:asciiTheme="majorBidi" w:hAnsiTheme="majorBidi" w:cstheme="majorBidi"/>
                <w:lang w:val="en-US"/>
              </w:rPr>
              <w:t>M</w:t>
            </w:r>
            <w:r w:rsidR="009B3C28" w:rsidRPr="00B16D8D">
              <w:rPr>
                <w:rFonts w:asciiTheme="majorBidi" w:hAnsiTheme="majorBidi" w:cstheme="majorBidi"/>
              </w:rPr>
              <w:t>obile cellular subscriptions per 100 people</w:t>
            </w:r>
            <w:r w:rsidR="009B3C28" w:rsidRPr="00B16D8D">
              <w:rPr>
                <w:rFonts w:asciiTheme="majorBidi" w:hAnsiTheme="majorBidi" w:cstheme="majorBidi"/>
                <w:lang w:val="en-US"/>
              </w:rPr>
              <w:t>,</w:t>
            </w:r>
          </w:p>
          <w:p w14:paraId="09B1B4F7" w14:textId="77777777" w:rsidR="00810E7E" w:rsidRPr="00B16D8D" w:rsidRDefault="00810E7E" w:rsidP="009B3C28">
            <w:pPr>
              <w:spacing w:line="360" w:lineRule="auto"/>
              <w:jc w:val="both"/>
              <w:rPr>
                <w:rFonts w:asciiTheme="majorBidi" w:hAnsiTheme="majorBidi" w:cstheme="majorBidi"/>
                <w:lang w:val="en-US"/>
              </w:rPr>
            </w:pPr>
          </w:p>
          <w:p w14:paraId="7793339B" w14:textId="705D69ED" w:rsidR="00810E7E" w:rsidRDefault="001466BA" w:rsidP="009B3C28">
            <w:pPr>
              <w:spacing w:line="360" w:lineRule="auto"/>
              <w:jc w:val="both"/>
              <w:rPr>
                <w:rFonts w:asciiTheme="majorBidi" w:hAnsiTheme="majorBidi" w:cstheme="majorBidi"/>
                <w:lang w:val="en-US"/>
              </w:rPr>
            </w:pPr>
            <w:r>
              <w:rPr>
                <w:rFonts w:asciiTheme="majorBidi" w:hAnsiTheme="majorBidi" w:cstheme="majorBidi"/>
                <w:lang w:val="en-US"/>
              </w:rPr>
              <w:t>T</w:t>
            </w:r>
            <w:r w:rsidR="009B3C28" w:rsidRPr="00B16D8D">
              <w:rPr>
                <w:rFonts w:asciiTheme="majorBidi" w:hAnsiTheme="majorBidi" w:cstheme="majorBidi"/>
                <w:lang w:val="en-US"/>
              </w:rPr>
              <w:t xml:space="preserve">ransportation infrastructure—rail line kilometers, road length(km) to population, </w:t>
            </w:r>
          </w:p>
          <w:p w14:paraId="70962489" w14:textId="77777777" w:rsidR="00810E7E" w:rsidRDefault="00810E7E" w:rsidP="009B3C28">
            <w:pPr>
              <w:spacing w:line="360" w:lineRule="auto"/>
              <w:jc w:val="both"/>
              <w:rPr>
                <w:rFonts w:asciiTheme="majorBidi" w:hAnsiTheme="majorBidi" w:cstheme="majorBidi"/>
                <w:lang w:val="en-US"/>
              </w:rPr>
            </w:pPr>
          </w:p>
          <w:p w14:paraId="280E020D" w14:textId="0393420A" w:rsidR="009B3C28" w:rsidRPr="00B16D8D" w:rsidRDefault="009B3C28" w:rsidP="00D37692">
            <w:pPr>
              <w:spacing w:line="360" w:lineRule="auto"/>
              <w:jc w:val="both"/>
              <w:rPr>
                <w:rFonts w:asciiTheme="majorBidi" w:hAnsiTheme="majorBidi" w:cstheme="majorBidi"/>
                <w:lang w:val="en-US"/>
              </w:rPr>
            </w:pPr>
            <w:r w:rsidRPr="00B16D8D">
              <w:rPr>
                <w:rFonts w:asciiTheme="majorBidi" w:hAnsiTheme="majorBidi" w:cstheme="majorBidi"/>
                <w:lang w:val="en-US"/>
              </w:rPr>
              <w:t>Government ICT capital expenditure</w:t>
            </w:r>
          </w:p>
        </w:tc>
        <w:tc>
          <w:tcPr>
            <w:tcW w:w="1508" w:type="dxa"/>
          </w:tcPr>
          <w:p w14:paraId="3C717913" w14:textId="2F95CB90" w:rsidR="009B3C28" w:rsidRDefault="00EB389D" w:rsidP="00B16D8D">
            <w:pPr>
              <w:spacing w:line="360" w:lineRule="auto"/>
              <w:jc w:val="both"/>
              <w:rPr>
                <w:rFonts w:asciiTheme="majorBidi" w:hAnsiTheme="majorBidi" w:cstheme="majorBidi"/>
                <w:lang w:val="en-US"/>
              </w:rPr>
            </w:pPr>
            <w:r w:rsidRPr="00EB389D">
              <w:rPr>
                <w:rFonts w:asciiTheme="majorBidi" w:hAnsiTheme="majorBidi" w:cstheme="majorBidi"/>
                <w:lang w:val="en-US"/>
              </w:rPr>
              <w:lastRenderedPageBreak/>
              <w:t>International Telecommunication Union</w:t>
            </w:r>
            <w:r>
              <w:rPr>
                <w:rFonts w:asciiTheme="majorBidi" w:hAnsiTheme="majorBidi" w:cstheme="majorBidi"/>
                <w:lang w:val="en-US"/>
              </w:rPr>
              <w:t>/ITU</w:t>
            </w:r>
          </w:p>
        </w:tc>
      </w:tr>
      <w:tr w:rsidR="00F14788" w14:paraId="51B85160" w14:textId="77777777" w:rsidTr="00311176">
        <w:tc>
          <w:tcPr>
            <w:tcW w:w="3539" w:type="dxa"/>
          </w:tcPr>
          <w:p w14:paraId="037BDD15" w14:textId="77777777" w:rsidR="009B3C28" w:rsidRPr="00B16D8D" w:rsidRDefault="009B3C28" w:rsidP="009B3C28">
            <w:pPr>
              <w:spacing w:line="360" w:lineRule="auto"/>
              <w:jc w:val="both"/>
              <w:rPr>
                <w:rFonts w:asciiTheme="majorBidi" w:hAnsiTheme="majorBidi" w:cstheme="majorBidi"/>
                <w:b/>
                <w:bCs/>
                <w:lang w:val="en-US"/>
              </w:rPr>
            </w:pPr>
            <w:r w:rsidRPr="00B16D8D">
              <w:rPr>
                <w:rFonts w:asciiTheme="majorBidi" w:hAnsiTheme="majorBidi" w:cstheme="majorBidi"/>
                <w:b/>
                <w:bCs/>
                <w:lang w:val="en-US"/>
              </w:rPr>
              <w:t>Other ICT measures</w:t>
            </w:r>
          </w:p>
          <w:p w14:paraId="4F403D28" w14:textId="77777777" w:rsidR="009B3C28" w:rsidRDefault="009B3C28" w:rsidP="00B16D8D">
            <w:pPr>
              <w:spacing w:line="360" w:lineRule="auto"/>
              <w:jc w:val="both"/>
              <w:rPr>
                <w:rFonts w:asciiTheme="majorBidi" w:hAnsiTheme="majorBidi" w:cstheme="majorBidi"/>
                <w:lang w:val="en-US"/>
              </w:rPr>
            </w:pPr>
          </w:p>
        </w:tc>
        <w:tc>
          <w:tcPr>
            <w:tcW w:w="3969" w:type="dxa"/>
          </w:tcPr>
          <w:p w14:paraId="4E4456A0" w14:textId="10C40419" w:rsidR="00810E7E" w:rsidRDefault="009B3C28" w:rsidP="00D37692">
            <w:pPr>
              <w:spacing w:line="360" w:lineRule="auto"/>
              <w:rPr>
                <w:rFonts w:asciiTheme="majorBidi" w:hAnsiTheme="majorBidi" w:cstheme="majorBidi"/>
                <w:lang w:val="en-US"/>
              </w:rPr>
            </w:pPr>
            <w:r w:rsidRPr="00B16D8D">
              <w:rPr>
                <w:rFonts w:asciiTheme="majorBidi" w:hAnsiTheme="majorBidi" w:cstheme="majorBidi"/>
              </w:rPr>
              <w:t>Online</w:t>
            </w:r>
            <w:r w:rsidRPr="00B16D8D">
              <w:rPr>
                <w:rFonts w:asciiTheme="majorBidi" w:hAnsiTheme="majorBidi" w:cstheme="majorBidi"/>
                <w:lang w:val="en-US"/>
              </w:rPr>
              <w:t xml:space="preserve"> </w:t>
            </w:r>
            <w:r w:rsidRPr="00B16D8D">
              <w:rPr>
                <w:rFonts w:asciiTheme="majorBidi" w:hAnsiTheme="majorBidi" w:cstheme="majorBidi"/>
              </w:rPr>
              <w:t>Service Index</w:t>
            </w:r>
            <w:r w:rsidRPr="00B16D8D">
              <w:rPr>
                <w:rFonts w:asciiTheme="majorBidi" w:hAnsiTheme="majorBidi" w:cstheme="majorBidi"/>
                <w:lang w:val="en-US"/>
              </w:rPr>
              <w:t xml:space="preserve">, </w:t>
            </w:r>
          </w:p>
          <w:p w14:paraId="7FB98605" w14:textId="4ADDF458" w:rsidR="00810E7E" w:rsidRDefault="009B3C28" w:rsidP="00D37692">
            <w:pPr>
              <w:spacing w:line="360" w:lineRule="auto"/>
              <w:rPr>
                <w:rFonts w:asciiTheme="majorBidi" w:hAnsiTheme="majorBidi" w:cstheme="majorBidi"/>
                <w:lang w:val="en-US"/>
              </w:rPr>
            </w:pPr>
            <w:r w:rsidRPr="00B16D8D">
              <w:rPr>
                <w:rFonts w:asciiTheme="majorBidi" w:hAnsiTheme="majorBidi" w:cstheme="majorBidi"/>
                <w:lang w:val="en-US"/>
              </w:rPr>
              <w:t xml:space="preserve">E-Government Index, </w:t>
            </w:r>
          </w:p>
          <w:p w14:paraId="2EA3132F" w14:textId="3FF3B5D3" w:rsidR="00810E7E" w:rsidRDefault="009B3C28" w:rsidP="00D37692">
            <w:pPr>
              <w:spacing w:line="360" w:lineRule="auto"/>
              <w:rPr>
                <w:rFonts w:asciiTheme="majorBidi" w:hAnsiTheme="majorBidi" w:cstheme="majorBidi"/>
                <w:lang w:val="en-US"/>
              </w:rPr>
            </w:pPr>
            <w:r w:rsidRPr="00B16D8D">
              <w:rPr>
                <w:rFonts w:asciiTheme="majorBidi" w:hAnsiTheme="majorBidi" w:cstheme="majorBidi"/>
                <w:lang w:val="en-US"/>
              </w:rPr>
              <w:t xml:space="preserve">Percentage of households that access electricity, </w:t>
            </w:r>
          </w:p>
          <w:p w14:paraId="6E771081" w14:textId="1BE4ABE4" w:rsidR="009B3C28" w:rsidRPr="00B16D8D" w:rsidRDefault="009B3C28" w:rsidP="009B3C28">
            <w:pPr>
              <w:spacing w:line="360" w:lineRule="auto"/>
              <w:rPr>
                <w:rFonts w:asciiTheme="majorBidi" w:hAnsiTheme="majorBidi" w:cstheme="majorBidi"/>
                <w:lang w:val="en-US"/>
              </w:rPr>
            </w:pPr>
            <w:r w:rsidRPr="00B16D8D">
              <w:rPr>
                <w:rFonts w:asciiTheme="majorBidi" w:hAnsiTheme="majorBidi" w:cstheme="majorBidi"/>
                <w:lang w:val="en-US"/>
              </w:rPr>
              <w:t>Percentage of renewable energy,</w:t>
            </w:r>
          </w:p>
        </w:tc>
        <w:tc>
          <w:tcPr>
            <w:tcW w:w="1508" w:type="dxa"/>
          </w:tcPr>
          <w:p w14:paraId="68C1110F" w14:textId="1A2F4D72" w:rsidR="009B3C28" w:rsidRDefault="00837F6A" w:rsidP="00B16D8D">
            <w:pPr>
              <w:spacing w:line="360" w:lineRule="auto"/>
              <w:jc w:val="both"/>
              <w:rPr>
                <w:rFonts w:asciiTheme="majorBidi" w:hAnsiTheme="majorBidi" w:cstheme="majorBidi"/>
                <w:lang w:val="en-US"/>
              </w:rPr>
            </w:pPr>
            <w:r>
              <w:rPr>
                <w:rFonts w:asciiTheme="majorBidi" w:hAnsiTheme="majorBidi" w:cstheme="majorBidi"/>
                <w:lang w:val="en-US"/>
              </w:rPr>
              <w:t>ITU/United Nations</w:t>
            </w:r>
            <w:r w:rsidR="00762048">
              <w:rPr>
                <w:rFonts w:asciiTheme="majorBidi" w:hAnsiTheme="majorBidi" w:cstheme="majorBidi"/>
                <w:lang w:val="en-US"/>
              </w:rPr>
              <w:t>/</w:t>
            </w:r>
            <w:r w:rsidR="00762048">
              <w:t xml:space="preserve"> </w:t>
            </w:r>
            <w:r w:rsidR="00762048" w:rsidRPr="00762048">
              <w:rPr>
                <w:rFonts w:asciiTheme="majorBidi" w:hAnsiTheme="majorBidi" w:cstheme="majorBidi"/>
                <w:lang w:val="en-US"/>
              </w:rPr>
              <w:t>International Renewable Energy Agency (IRENA)</w:t>
            </w:r>
          </w:p>
        </w:tc>
      </w:tr>
    </w:tbl>
    <w:p w14:paraId="73BD8560" w14:textId="48B29E20" w:rsidR="00713267" w:rsidRPr="00B16D8D" w:rsidRDefault="00713267" w:rsidP="00B16D8D">
      <w:pPr>
        <w:spacing w:line="360" w:lineRule="auto"/>
        <w:jc w:val="both"/>
        <w:rPr>
          <w:rFonts w:asciiTheme="majorBidi" w:hAnsiTheme="majorBidi" w:cstheme="majorBidi"/>
          <w:lang w:val="en-US"/>
        </w:rPr>
      </w:pPr>
    </w:p>
    <w:p w14:paraId="1F7C5C16" w14:textId="77777777" w:rsidR="00BD42B3" w:rsidRPr="00B16D8D" w:rsidRDefault="00BD42B3" w:rsidP="00B16D8D">
      <w:pPr>
        <w:spacing w:line="360" w:lineRule="auto"/>
        <w:jc w:val="both"/>
        <w:rPr>
          <w:rFonts w:asciiTheme="majorBidi" w:hAnsiTheme="majorBidi" w:cstheme="majorBidi"/>
          <w:lang w:val="en-US"/>
        </w:rPr>
      </w:pPr>
    </w:p>
    <w:sectPr w:rsidR="00BD42B3" w:rsidRPr="00B16D8D">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A8308" w14:textId="77777777" w:rsidR="004F3806" w:rsidRDefault="004F3806" w:rsidP="009F6E91">
      <w:r>
        <w:separator/>
      </w:r>
    </w:p>
  </w:endnote>
  <w:endnote w:type="continuationSeparator" w:id="0">
    <w:p w14:paraId="4922A926" w14:textId="77777777" w:rsidR="004F3806" w:rsidRDefault="004F3806" w:rsidP="009F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8322374"/>
      <w:docPartObj>
        <w:docPartGallery w:val="Page Numbers (Bottom of Page)"/>
        <w:docPartUnique/>
      </w:docPartObj>
    </w:sdtPr>
    <w:sdtEndPr>
      <w:rPr>
        <w:rStyle w:val="PageNumber"/>
      </w:rPr>
    </w:sdtEndPr>
    <w:sdtContent>
      <w:p w14:paraId="1CFFB97E" w14:textId="3FFEC8E9" w:rsidR="009F6E91" w:rsidRDefault="009F6E91" w:rsidP="00CD7E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5A7323" w14:textId="77777777" w:rsidR="009F6E91" w:rsidRDefault="009F6E91" w:rsidP="009F6E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8735234"/>
      <w:docPartObj>
        <w:docPartGallery w:val="Page Numbers (Bottom of Page)"/>
        <w:docPartUnique/>
      </w:docPartObj>
    </w:sdtPr>
    <w:sdtEndPr>
      <w:rPr>
        <w:rStyle w:val="PageNumber"/>
      </w:rPr>
    </w:sdtEndPr>
    <w:sdtContent>
      <w:p w14:paraId="59477FE9" w14:textId="5B3E86C4" w:rsidR="009F6E91" w:rsidRDefault="009F6E91" w:rsidP="00CD7E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954A12" w14:textId="77777777" w:rsidR="009F6E91" w:rsidRDefault="009F6E91" w:rsidP="009F6E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AB792" w14:textId="77777777" w:rsidR="004F3806" w:rsidRDefault="004F3806" w:rsidP="009F6E91">
      <w:r>
        <w:separator/>
      </w:r>
    </w:p>
  </w:footnote>
  <w:footnote w:type="continuationSeparator" w:id="0">
    <w:p w14:paraId="4225F0E1" w14:textId="77777777" w:rsidR="004F3806" w:rsidRDefault="004F3806" w:rsidP="009F6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42E1D"/>
    <w:multiLevelType w:val="multilevel"/>
    <w:tmpl w:val="83D05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BE"/>
    <w:rsid w:val="00010F6E"/>
    <w:rsid w:val="00030CAA"/>
    <w:rsid w:val="00095C1F"/>
    <w:rsid w:val="000E70F9"/>
    <w:rsid w:val="000F3DDF"/>
    <w:rsid w:val="001176A3"/>
    <w:rsid w:val="00117AF0"/>
    <w:rsid w:val="00131A6C"/>
    <w:rsid w:val="001466BA"/>
    <w:rsid w:val="0014691C"/>
    <w:rsid w:val="00154100"/>
    <w:rsid w:val="001657CE"/>
    <w:rsid w:val="00166C1F"/>
    <w:rsid w:val="001A7550"/>
    <w:rsid w:val="001B507B"/>
    <w:rsid w:val="001F1434"/>
    <w:rsid w:val="002329E0"/>
    <w:rsid w:val="00250DEC"/>
    <w:rsid w:val="00266015"/>
    <w:rsid w:val="00280AA5"/>
    <w:rsid w:val="002A1533"/>
    <w:rsid w:val="002A6E79"/>
    <w:rsid w:val="002D123C"/>
    <w:rsid w:val="002E444F"/>
    <w:rsid w:val="003038EB"/>
    <w:rsid w:val="00311176"/>
    <w:rsid w:val="003357A1"/>
    <w:rsid w:val="00353C15"/>
    <w:rsid w:val="00361E2F"/>
    <w:rsid w:val="00367DA2"/>
    <w:rsid w:val="00377076"/>
    <w:rsid w:val="00391B9D"/>
    <w:rsid w:val="003943A2"/>
    <w:rsid w:val="003A7C1E"/>
    <w:rsid w:val="003E4323"/>
    <w:rsid w:val="003F5EC4"/>
    <w:rsid w:val="004112CA"/>
    <w:rsid w:val="00416EDA"/>
    <w:rsid w:val="00437363"/>
    <w:rsid w:val="00473AB5"/>
    <w:rsid w:val="0048271D"/>
    <w:rsid w:val="00487532"/>
    <w:rsid w:val="004D6E6E"/>
    <w:rsid w:val="004F3806"/>
    <w:rsid w:val="004F3CCC"/>
    <w:rsid w:val="00526DD1"/>
    <w:rsid w:val="005378A0"/>
    <w:rsid w:val="005564F0"/>
    <w:rsid w:val="005A6DAA"/>
    <w:rsid w:val="005E6B19"/>
    <w:rsid w:val="00601FDD"/>
    <w:rsid w:val="0065146C"/>
    <w:rsid w:val="00666326"/>
    <w:rsid w:val="00687315"/>
    <w:rsid w:val="006A16F2"/>
    <w:rsid w:val="006A3A96"/>
    <w:rsid w:val="006B0A64"/>
    <w:rsid w:val="006D18B6"/>
    <w:rsid w:val="006E7BFC"/>
    <w:rsid w:val="00712A5A"/>
    <w:rsid w:val="00713267"/>
    <w:rsid w:val="00726C9A"/>
    <w:rsid w:val="00762048"/>
    <w:rsid w:val="0077321A"/>
    <w:rsid w:val="00790EE5"/>
    <w:rsid w:val="0079291D"/>
    <w:rsid w:val="007A41EE"/>
    <w:rsid w:val="007C4F59"/>
    <w:rsid w:val="007C7CA9"/>
    <w:rsid w:val="007D71DC"/>
    <w:rsid w:val="007F0F41"/>
    <w:rsid w:val="007F12F9"/>
    <w:rsid w:val="00803437"/>
    <w:rsid w:val="00810E7E"/>
    <w:rsid w:val="00837F6A"/>
    <w:rsid w:val="00846752"/>
    <w:rsid w:val="008472A7"/>
    <w:rsid w:val="00855DCD"/>
    <w:rsid w:val="00893148"/>
    <w:rsid w:val="008953D9"/>
    <w:rsid w:val="008B641D"/>
    <w:rsid w:val="008D1D40"/>
    <w:rsid w:val="008D587E"/>
    <w:rsid w:val="009059A2"/>
    <w:rsid w:val="009110FB"/>
    <w:rsid w:val="00922E2A"/>
    <w:rsid w:val="0093530D"/>
    <w:rsid w:val="00967974"/>
    <w:rsid w:val="00967EA4"/>
    <w:rsid w:val="009734A9"/>
    <w:rsid w:val="00980916"/>
    <w:rsid w:val="00987633"/>
    <w:rsid w:val="00991F20"/>
    <w:rsid w:val="009951B4"/>
    <w:rsid w:val="009B3C28"/>
    <w:rsid w:val="009C01F0"/>
    <w:rsid w:val="009C11AD"/>
    <w:rsid w:val="009F59B0"/>
    <w:rsid w:val="009F6E91"/>
    <w:rsid w:val="00A001C4"/>
    <w:rsid w:val="00A23605"/>
    <w:rsid w:val="00A4688F"/>
    <w:rsid w:val="00A50E28"/>
    <w:rsid w:val="00A64369"/>
    <w:rsid w:val="00A85ED7"/>
    <w:rsid w:val="00A90FE1"/>
    <w:rsid w:val="00A91939"/>
    <w:rsid w:val="00AF6CDD"/>
    <w:rsid w:val="00B16D8D"/>
    <w:rsid w:val="00B768CF"/>
    <w:rsid w:val="00BA539B"/>
    <w:rsid w:val="00BB6421"/>
    <w:rsid w:val="00BC6483"/>
    <w:rsid w:val="00BC67C1"/>
    <w:rsid w:val="00BD13B5"/>
    <w:rsid w:val="00BD42B3"/>
    <w:rsid w:val="00BD59A1"/>
    <w:rsid w:val="00BF31AB"/>
    <w:rsid w:val="00C01DC8"/>
    <w:rsid w:val="00C45A8B"/>
    <w:rsid w:val="00C6431B"/>
    <w:rsid w:val="00C86FC8"/>
    <w:rsid w:val="00CB4861"/>
    <w:rsid w:val="00CC77B5"/>
    <w:rsid w:val="00D05F57"/>
    <w:rsid w:val="00D20C7E"/>
    <w:rsid w:val="00D329B1"/>
    <w:rsid w:val="00D37692"/>
    <w:rsid w:val="00D51F00"/>
    <w:rsid w:val="00D53F11"/>
    <w:rsid w:val="00DB1BCB"/>
    <w:rsid w:val="00DD6F4B"/>
    <w:rsid w:val="00DE32BE"/>
    <w:rsid w:val="00DF69C0"/>
    <w:rsid w:val="00E179F0"/>
    <w:rsid w:val="00E35402"/>
    <w:rsid w:val="00E36AB6"/>
    <w:rsid w:val="00E65F61"/>
    <w:rsid w:val="00E8781D"/>
    <w:rsid w:val="00EA129E"/>
    <w:rsid w:val="00EB389D"/>
    <w:rsid w:val="00EE73A5"/>
    <w:rsid w:val="00F027AB"/>
    <w:rsid w:val="00F14788"/>
    <w:rsid w:val="00F24987"/>
    <w:rsid w:val="00F51095"/>
    <w:rsid w:val="00F5162E"/>
    <w:rsid w:val="00F6273E"/>
    <w:rsid w:val="00F90E00"/>
    <w:rsid w:val="00FB33EE"/>
  </w:rsids>
  <m:mathPr>
    <m:mathFont m:val="Cambria Math"/>
    <m:brkBin m:val="before"/>
    <m:brkBinSub m:val="--"/>
    <m:smallFrac m:val="0"/>
    <m:dispDef/>
    <m:lMargin m:val="0"/>
    <m:rMargin m:val="0"/>
    <m:defJc m:val="centerGroup"/>
    <m:wrapIndent m:val="1440"/>
    <m:intLim m:val="subSup"/>
    <m:naryLim m:val="undOvr"/>
  </m:mathPr>
  <w:themeFontLang w:val="en-FR" w:bidi="ar-SA"/>
  <w:clrSchemeMapping w:bg1="light1" w:t1="dark1" w:bg2="light2" w:t2="dark2" w:accent1="accent1" w:accent2="accent2" w:accent3="accent3" w:accent4="accent4" w:accent5="accent5" w:accent6="accent6" w:hyperlink="hyperlink" w:followedHyperlink="followedHyperlink"/>
  <w:decimalSymbol w:val="."/>
  <w:listSeparator w:val=","/>
  <w14:docId w14:val="706B8F3F"/>
  <w15:chartTrackingRefBased/>
  <w15:docId w15:val="{E324A4B5-9FC0-0E44-AE76-9EF22FB6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F6E91"/>
    <w:pPr>
      <w:tabs>
        <w:tab w:val="center" w:pos="4513"/>
        <w:tab w:val="right" w:pos="9026"/>
      </w:tabs>
    </w:pPr>
  </w:style>
  <w:style w:type="character" w:customStyle="1" w:styleId="FooterChar">
    <w:name w:val="Footer Char"/>
    <w:basedOn w:val="DefaultParagraphFont"/>
    <w:link w:val="Footer"/>
    <w:uiPriority w:val="99"/>
    <w:rsid w:val="009F6E91"/>
  </w:style>
  <w:style w:type="character" w:styleId="PageNumber">
    <w:name w:val="page number"/>
    <w:basedOn w:val="DefaultParagraphFont"/>
    <w:uiPriority w:val="99"/>
    <w:semiHidden/>
    <w:unhideWhenUsed/>
    <w:rsid w:val="009F6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9011">
      <w:bodyDiv w:val="1"/>
      <w:marLeft w:val="0"/>
      <w:marRight w:val="0"/>
      <w:marTop w:val="0"/>
      <w:marBottom w:val="0"/>
      <w:divBdr>
        <w:top w:val="none" w:sz="0" w:space="0" w:color="auto"/>
        <w:left w:val="none" w:sz="0" w:space="0" w:color="auto"/>
        <w:bottom w:val="none" w:sz="0" w:space="0" w:color="auto"/>
        <w:right w:val="none" w:sz="0" w:space="0" w:color="auto"/>
      </w:divBdr>
    </w:div>
    <w:div w:id="264847178">
      <w:bodyDiv w:val="1"/>
      <w:marLeft w:val="0"/>
      <w:marRight w:val="0"/>
      <w:marTop w:val="0"/>
      <w:marBottom w:val="0"/>
      <w:divBdr>
        <w:top w:val="none" w:sz="0" w:space="0" w:color="auto"/>
        <w:left w:val="none" w:sz="0" w:space="0" w:color="auto"/>
        <w:bottom w:val="none" w:sz="0" w:space="0" w:color="auto"/>
        <w:right w:val="none" w:sz="0" w:space="0" w:color="auto"/>
      </w:divBdr>
    </w:div>
    <w:div w:id="311450042">
      <w:bodyDiv w:val="1"/>
      <w:marLeft w:val="0"/>
      <w:marRight w:val="0"/>
      <w:marTop w:val="0"/>
      <w:marBottom w:val="0"/>
      <w:divBdr>
        <w:top w:val="none" w:sz="0" w:space="0" w:color="auto"/>
        <w:left w:val="none" w:sz="0" w:space="0" w:color="auto"/>
        <w:bottom w:val="none" w:sz="0" w:space="0" w:color="auto"/>
        <w:right w:val="none" w:sz="0" w:space="0" w:color="auto"/>
      </w:divBdr>
    </w:div>
    <w:div w:id="424572366">
      <w:bodyDiv w:val="1"/>
      <w:marLeft w:val="0"/>
      <w:marRight w:val="0"/>
      <w:marTop w:val="0"/>
      <w:marBottom w:val="0"/>
      <w:divBdr>
        <w:top w:val="none" w:sz="0" w:space="0" w:color="auto"/>
        <w:left w:val="none" w:sz="0" w:space="0" w:color="auto"/>
        <w:bottom w:val="none" w:sz="0" w:space="0" w:color="auto"/>
        <w:right w:val="none" w:sz="0" w:space="0" w:color="auto"/>
      </w:divBdr>
    </w:div>
    <w:div w:id="539899823">
      <w:bodyDiv w:val="1"/>
      <w:marLeft w:val="0"/>
      <w:marRight w:val="0"/>
      <w:marTop w:val="0"/>
      <w:marBottom w:val="0"/>
      <w:divBdr>
        <w:top w:val="none" w:sz="0" w:space="0" w:color="auto"/>
        <w:left w:val="none" w:sz="0" w:space="0" w:color="auto"/>
        <w:bottom w:val="none" w:sz="0" w:space="0" w:color="auto"/>
        <w:right w:val="none" w:sz="0" w:space="0" w:color="auto"/>
      </w:divBdr>
    </w:div>
    <w:div w:id="955915880">
      <w:bodyDiv w:val="1"/>
      <w:marLeft w:val="0"/>
      <w:marRight w:val="0"/>
      <w:marTop w:val="0"/>
      <w:marBottom w:val="0"/>
      <w:divBdr>
        <w:top w:val="none" w:sz="0" w:space="0" w:color="auto"/>
        <w:left w:val="none" w:sz="0" w:space="0" w:color="auto"/>
        <w:bottom w:val="none" w:sz="0" w:space="0" w:color="auto"/>
        <w:right w:val="none" w:sz="0" w:space="0" w:color="auto"/>
      </w:divBdr>
    </w:div>
    <w:div w:id="1063256123">
      <w:bodyDiv w:val="1"/>
      <w:marLeft w:val="0"/>
      <w:marRight w:val="0"/>
      <w:marTop w:val="0"/>
      <w:marBottom w:val="0"/>
      <w:divBdr>
        <w:top w:val="none" w:sz="0" w:space="0" w:color="auto"/>
        <w:left w:val="none" w:sz="0" w:space="0" w:color="auto"/>
        <w:bottom w:val="none" w:sz="0" w:space="0" w:color="auto"/>
        <w:right w:val="none" w:sz="0" w:space="0" w:color="auto"/>
      </w:divBdr>
    </w:div>
    <w:div w:id="1088233508">
      <w:bodyDiv w:val="1"/>
      <w:marLeft w:val="0"/>
      <w:marRight w:val="0"/>
      <w:marTop w:val="0"/>
      <w:marBottom w:val="0"/>
      <w:divBdr>
        <w:top w:val="none" w:sz="0" w:space="0" w:color="auto"/>
        <w:left w:val="none" w:sz="0" w:space="0" w:color="auto"/>
        <w:bottom w:val="none" w:sz="0" w:space="0" w:color="auto"/>
        <w:right w:val="none" w:sz="0" w:space="0" w:color="auto"/>
      </w:divBdr>
    </w:div>
    <w:div w:id="1143887385">
      <w:bodyDiv w:val="1"/>
      <w:marLeft w:val="0"/>
      <w:marRight w:val="0"/>
      <w:marTop w:val="0"/>
      <w:marBottom w:val="0"/>
      <w:divBdr>
        <w:top w:val="none" w:sz="0" w:space="0" w:color="auto"/>
        <w:left w:val="none" w:sz="0" w:space="0" w:color="auto"/>
        <w:bottom w:val="none" w:sz="0" w:space="0" w:color="auto"/>
        <w:right w:val="none" w:sz="0" w:space="0" w:color="auto"/>
      </w:divBdr>
    </w:div>
    <w:div w:id="1272667873">
      <w:bodyDiv w:val="1"/>
      <w:marLeft w:val="0"/>
      <w:marRight w:val="0"/>
      <w:marTop w:val="0"/>
      <w:marBottom w:val="0"/>
      <w:divBdr>
        <w:top w:val="none" w:sz="0" w:space="0" w:color="auto"/>
        <w:left w:val="none" w:sz="0" w:space="0" w:color="auto"/>
        <w:bottom w:val="none" w:sz="0" w:space="0" w:color="auto"/>
        <w:right w:val="none" w:sz="0" w:space="0" w:color="auto"/>
      </w:divBdr>
    </w:div>
    <w:div w:id="1277640759">
      <w:bodyDiv w:val="1"/>
      <w:marLeft w:val="0"/>
      <w:marRight w:val="0"/>
      <w:marTop w:val="0"/>
      <w:marBottom w:val="0"/>
      <w:divBdr>
        <w:top w:val="none" w:sz="0" w:space="0" w:color="auto"/>
        <w:left w:val="none" w:sz="0" w:space="0" w:color="auto"/>
        <w:bottom w:val="none" w:sz="0" w:space="0" w:color="auto"/>
        <w:right w:val="none" w:sz="0" w:space="0" w:color="auto"/>
      </w:divBdr>
    </w:div>
    <w:div w:id="1486436277">
      <w:bodyDiv w:val="1"/>
      <w:marLeft w:val="0"/>
      <w:marRight w:val="0"/>
      <w:marTop w:val="0"/>
      <w:marBottom w:val="0"/>
      <w:divBdr>
        <w:top w:val="none" w:sz="0" w:space="0" w:color="auto"/>
        <w:left w:val="none" w:sz="0" w:space="0" w:color="auto"/>
        <w:bottom w:val="none" w:sz="0" w:space="0" w:color="auto"/>
        <w:right w:val="none" w:sz="0" w:space="0" w:color="auto"/>
      </w:divBdr>
    </w:div>
    <w:div w:id="1567834095">
      <w:bodyDiv w:val="1"/>
      <w:marLeft w:val="0"/>
      <w:marRight w:val="0"/>
      <w:marTop w:val="0"/>
      <w:marBottom w:val="0"/>
      <w:divBdr>
        <w:top w:val="none" w:sz="0" w:space="0" w:color="auto"/>
        <w:left w:val="none" w:sz="0" w:space="0" w:color="auto"/>
        <w:bottom w:val="none" w:sz="0" w:space="0" w:color="auto"/>
        <w:right w:val="none" w:sz="0" w:space="0" w:color="auto"/>
      </w:divBdr>
      <w:divsChild>
        <w:div w:id="500967805">
          <w:marLeft w:val="0"/>
          <w:marRight w:val="0"/>
          <w:marTop w:val="0"/>
          <w:marBottom w:val="0"/>
          <w:divBdr>
            <w:top w:val="none" w:sz="0" w:space="0" w:color="auto"/>
            <w:left w:val="none" w:sz="0" w:space="0" w:color="auto"/>
            <w:bottom w:val="none" w:sz="0" w:space="0" w:color="auto"/>
            <w:right w:val="none" w:sz="0" w:space="0" w:color="auto"/>
          </w:divBdr>
          <w:divsChild>
            <w:div w:id="453056991">
              <w:marLeft w:val="0"/>
              <w:marRight w:val="0"/>
              <w:marTop w:val="0"/>
              <w:marBottom w:val="0"/>
              <w:divBdr>
                <w:top w:val="none" w:sz="0" w:space="0" w:color="auto"/>
                <w:left w:val="none" w:sz="0" w:space="0" w:color="auto"/>
                <w:bottom w:val="none" w:sz="0" w:space="0" w:color="auto"/>
                <w:right w:val="none" w:sz="0" w:space="0" w:color="auto"/>
              </w:divBdr>
            </w:div>
          </w:divsChild>
        </w:div>
        <w:div w:id="1201630832">
          <w:marLeft w:val="0"/>
          <w:marRight w:val="0"/>
          <w:marTop w:val="30"/>
          <w:marBottom w:val="0"/>
          <w:divBdr>
            <w:top w:val="none" w:sz="0" w:space="0" w:color="auto"/>
            <w:left w:val="none" w:sz="0" w:space="0" w:color="auto"/>
            <w:bottom w:val="none" w:sz="0" w:space="0" w:color="auto"/>
            <w:right w:val="none" w:sz="0" w:space="0" w:color="auto"/>
          </w:divBdr>
        </w:div>
      </w:divsChild>
    </w:div>
    <w:div w:id="1672641033">
      <w:bodyDiv w:val="1"/>
      <w:marLeft w:val="0"/>
      <w:marRight w:val="0"/>
      <w:marTop w:val="0"/>
      <w:marBottom w:val="0"/>
      <w:divBdr>
        <w:top w:val="none" w:sz="0" w:space="0" w:color="auto"/>
        <w:left w:val="none" w:sz="0" w:space="0" w:color="auto"/>
        <w:bottom w:val="none" w:sz="0" w:space="0" w:color="auto"/>
        <w:right w:val="none" w:sz="0" w:space="0" w:color="auto"/>
      </w:divBdr>
    </w:div>
    <w:div w:id="1814836621">
      <w:bodyDiv w:val="1"/>
      <w:marLeft w:val="0"/>
      <w:marRight w:val="0"/>
      <w:marTop w:val="0"/>
      <w:marBottom w:val="0"/>
      <w:divBdr>
        <w:top w:val="none" w:sz="0" w:space="0" w:color="auto"/>
        <w:left w:val="none" w:sz="0" w:space="0" w:color="auto"/>
        <w:bottom w:val="none" w:sz="0" w:space="0" w:color="auto"/>
        <w:right w:val="none" w:sz="0" w:space="0" w:color="auto"/>
      </w:divBdr>
    </w:div>
    <w:div w:id="1826362347">
      <w:bodyDiv w:val="1"/>
      <w:marLeft w:val="0"/>
      <w:marRight w:val="0"/>
      <w:marTop w:val="0"/>
      <w:marBottom w:val="0"/>
      <w:divBdr>
        <w:top w:val="none" w:sz="0" w:space="0" w:color="auto"/>
        <w:left w:val="none" w:sz="0" w:space="0" w:color="auto"/>
        <w:bottom w:val="none" w:sz="0" w:space="0" w:color="auto"/>
        <w:right w:val="none" w:sz="0" w:space="0" w:color="auto"/>
      </w:divBdr>
    </w:div>
    <w:div w:id="1890998388">
      <w:bodyDiv w:val="1"/>
      <w:marLeft w:val="0"/>
      <w:marRight w:val="0"/>
      <w:marTop w:val="0"/>
      <w:marBottom w:val="0"/>
      <w:divBdr>
        <w:top w:val="none" w:sz="0" w:space="0" w:color="auto"/>
        <w:left w:val="none" w:sz="0" w:space="0" w:color="auto"/>
        <w:bottom w:val="none" w:sz="0" w:space="0" w:color="auto"/>
        <w:right w:val="none" w:sz="0" w:space="0" w:color="auto"/>
      </w:divBdr>
    </w:div>
    <w:div w:id="1964848414">
      <w:bodyDiv w:val="1"/>
      <w:marLeft w:val="0"/>
      <w:marRight w:val="0"/>
      <w:marTop w:val="0"/>
      <w:marBottom w:val="0"/>
      <w:divBdr>
        <w:top w:val="none" w:sz="0" w:space="0" w:color="auto"/>
        <w:left w:val="none" w:sz="0" w:space="0" w:color="auto"/>
        <w:bottom w:val="none" w:sz="0" w:space="0" w:color="auto"/>
        <w:right w:val="none" w:sz="0" w:space="0" w:color="auto"/>
      </w:divBdr>
    </w:div>
    <w:div w:id="2088651639">
      <w:bodyDiv w:val="1"/>
      <w:marLeft w:val="0"/>
      <w:marRight w:val="0"/>
      <w:marTop w:val="0"/>
      <w:marBottom w:val="0"/>
      <w:divBdr>
        <w:top w:val="none" w:sz="0" w:space="0" w:color="auto"/>
        <w:left w:val="none" w:sz="0" w:space="0" w:color="auto"/>
        <w:bottom w:val="none" w:sz="0" w:space="0" w:color="auto"/>
        <w:right w:val="none" w:sz="0" w:space="0" w:color="auto"/>
      </w:divBdr>
    </w:div>
    <w:div w:id="20887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MUSHTAQ</dc:creator>
  <cp:keywords/>
  <dc:description/>
  <cp:lastModifiedBy>RIZWAN MUSHTAQ</cp:lastModifiedBy>
  <cp:revision>173</cp:revision>
  <dcterms:created xsi:type="dcterms:W3CDTF">2021-06-21T23:01:00Z</dcterms:created>
  <dcterms:modified xsi:type="dcterms:W3CDTF">2021-08-10T19:24:00Z</dcterms:modified>
</cp:coreProperties>
</file>