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w28ks8ehk4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di supporto – Esercizio 11 "Meeting‑Minutes Synthesizer"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q6ym4kb2s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Analisi degli appunti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Ecco un blocco di appunti disordinati presi durante un meeting tra QA e HR.</w:t>
        <w:br w:type="textWrapping"/>
        <w:t xml:space="preserve"> Leggili con attenzione e individua: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la data del meeting;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 partecipanti;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 temi principali;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eventuali attività assegnate a qualcuno.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pycoi2uw2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Riorganizzazione in verbale GMP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Trasforma gli appunti in un verbale strutturato.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verbale deve includere: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Titolo e data del meeting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Elenco partecipanti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Corpo testuale diviso in paragrafi (uno per ciascun argomento trattato)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Tabella finale "Action item" con colonne: Attività / Responsabile / Scadenza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v9hbl12s5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Controllo tono e forma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Rivedi il verbale generato.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testo è formale e neutro, come un documento GMP?</w:t>
        <w:br w:type="textWrapping"/>
        <w:t xml:space="preserve"> Le informazioni sono chiare, senza abbreviazioni o frasi ambigue?</w:t>
        <w:br w:type="textWrapping"/>
        <w:t xml:space="preserve"> Se necessario, chiedi a Gigi di migliorare tono e leggibilità.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ojamhukwz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– Verifica tabella Action item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Controlla che la tabella finale sia completa, chiara e formattata correttamente.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Ogni attività ha: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una descrizione sintetica;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 responsabile preciso;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una scadenza realistica?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