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749A" w:rsidRDefault="008C749A"/>
    <w:p w:rsidR="00F51723" w:rsidRPr="00EB2708" w:rsidRDefault="00EB2708">
      <w:pPr>
        <w:rPr>
          <w:b/>
          <w:bCs/>
          <w:sz w:val="32"/>
          <w:szCs w:val="32"/>
        </w:rPr>
      </w:pPr>
      <w:r w:rsidRPr="00EB2708">
        <w:rPr>
          <w:b/>
          <w:bCs/>
          <w:sz w:val="32"/>
          <w:szCs w:val="32"/>
        </w:rPr>
        <w:t>Cybersecurity Policy Comparison: NZ Privacy Act 2020 vs GDPR</w:t>
      </w:r>
    </w:p>
    <w:p w:rsidR="00F51723" w:rsidRPr="00EB2708" w:rsidRDefault="00F5172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4202"/>
        <w:gridCol w:w="2644"/>
      </w:tblGrid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NZ Privacy Act 2020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GDPR (EU)</w:t>
            </w:r>
          </w:p>
        </w:tc>
      </w:tr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Breach Notification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ASAP to Privacy Commissioner (no later than when affected individuals notified)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Within 72 hours to Supervisory Authority</w:t>
            </w:r>
          </w:p>
        </w:tc>
      </w:tr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Right to Access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Yes</w:t>
            </w:r>
          </w:p>
        </w:tc>
      </w:tr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Right to Erasure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No legal equivalent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Yes (“Right to be forgotten”)</w:t>
            </w:r>
          </w:p>
        </w:tc>
      </w:tr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Data Localization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Not required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Not required</w:t>
            </w:r>
          </w:p>
        </w:tc>
      </w:tr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Fines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Max NZD $10,000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Up to €20 million or 4% of global turnover</w:t>
            </w:r>
          </w:p>
        </w:tc>
      </w:tr>
      <w:tr w:rsidR="00F51723" w:rsidRPr="00F51723" w:rsidTr="00F51723"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b/>
                <w:bCs/>
                <w:sz w:val="28"/>
                <w:szCs w:val="28"/>
              </w:rPr>
              <w:t>Cross-border Data Transfers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Must take “reasonable safeguards”</w:t>
            </w:r>
          </w:p>
        </w:tc>
        <w:tc>
          <w:tcPr>
            <w:tcW w:w="0" w:type="auto"/>
            <w:hideMark/>
          </w:tcPr>
          <w:p w:rsidR="00F51723" w:rsidRPr="00F51723" w:rsidRDefault="00F51723" w:rsidP="00F51723">
            <w:pPr>
              <w:spacing w:after="160" w:line="259" w:lineRule="auto"/>
              <w:rPr>
                <w:sz w:val="28"/>
                <w:szCs w:val="28"/>
              </w:rPr>
            </w:pPr>
            <w:r w:rsidRPr="00F51723">
              <w:rPr>
                <w:sz w:val="28"/>
                <w:szCs w:val="28"/>
              </w:rPr>
              <w:t>Allowed only with adequate safeguards</w:t>
            </w:r>
          </w:p>
        </w:tc>
      </w:tr>
    </w:tbl>
    <w:p w:rsidR="00F51723" w:rsidRPr="00EB2708" w:rsidRDefault="00F51723">
      <w:pPr>
        <w:rPr>
          <w:sz w:val="28"/>
          <w:szCs w:val="28"/>
        </w:rPr>
      </w:pPr>
    </w:p>
    <w:p w:rsidR="00F51723" w:rsidRPr="00F51723" w:rsidRDefault="00F51723" w:rsidP="00F51723">
      <w:pPr>
        <w:rPr>
          <w:sz w:val="28"/>
          <w:szCs w:val="28"/>
        </w:rPr>
      </w:pPr>
      <w:r w:rsidRPr="00F51723">
        <w:rPr>
          <w:sz w:val="28"/>
          <w:szCs w:val="28"/>
        </w:rPr>
        <w:t xml:space="preserve">This project </w:t>
      </w:r>
      <w:proofErr w:type="spellStart"/>
      <w:r w:rsidRPr="00F51723">
        <w:rPr>
          <w:sz w:val="28"/>
          <w:szCs w:val="28"/>
        </w:rPr>
        <w:t>analyzes</w:t>
      </w:r>
      <w:proofErr w:type="spellEnd"/>
      <w:r w:rsidRPr="00F51723">
        <w:rPr>
          <w:sz w:val="28"/>
          <w:szCs w:val="28"/>
        </w:rPr>
        <w:t xml:space="preserve"> and compares key elements of the </w:t>
      </w:r>
      <w:r w:rsidRPr="00F51723">
        <w:rPr>
          <w:b/>
          <w:bCs/>
          <w:sz w:val="28"/>
          <w:szCs w:val="28"/>
        </w:rPr>
        <w:t>New Zealand Privacy Act 2020</w:t>
      </w:r>
      <w:r w:rsidRPr="00F51723">
        <w:rPr>
          <w:sz w:val="28"/>
          <w:szCs w:val="28"/>
        </w:rPr>
        <w:t xml:space="preserve"> with the </w:t>
      </w:r>
      <w:r w:rsidRPr="00F51723">
        <w:rPr>
          <w:b/>
          <w:bCs/>
          <w:sz w:val="28"/>
          <w:szCs w:val="28"/>
        </w:rPr>
        <w:t>European Union’s General Data Protection Regulation (GDPR)</w:t>
      </w:r>
      <w:r w:rsidRPr="00F51723">
        <w:rPr>
          <w:sz w:val="28"/>
          <w:szCs w:val="28"/>
        </w:rPr>
        <w:t>. Both laws are designed to protect individuals' personal data, but differ in scope, enforcement, and data subject rights.</w:t>
      </w:r>
    </w:p>
    <w:p w:rsidR="00F51723" w:rsidRPr="00F51723" w:rsidRDefault="00F51723" w:rsidP="00F51723">
      <w:pPr>
        <w:rPr>
          <w:sz w:val="28"/>
          <w:szCs w:val="28"/>
        </w:rPr>
      </w:pPr>
      <w:r w:rsidRPr="00F51723">
        <w:rPr>
          <w:sz w:val="28"/>
          <w:szCs w:val="28"/>
        </w:rPr>
        <w:t xml:space="preserve">A notable difference is that </w:t>
      </w:r>
      <w:r w:rsidRPr="00F51723">
        <w:rPr>
          <w:b/>
          <w:bCs/>
          <w:sz w:val="28"/>
          <w:szCs w:val="28"/>
        </w:rPr>
        <w:t>GDPR includes the right to erasure</w:t>
      </w:r>
      <w:r w:rsidRPr="00F51723">
        <w:rPr>
          <w:sz w:val="28"/>
          <w:szCs w:val="28"/>
        </w:rPr>
        <w:t xml:space="preserve">, while New Zealand does not currently offer an equivalent. The </w:t>
      </w:r>
      <w:r w:rsidRPr="00F51723">
        <w:rPr>
          <w:b/>
          <w:bCs/>
          <w:sz w:val="28"/>
          <w:szCs w:val="28"/>
        </w:rPr>
        <w:t>breach notification window</w:t>
      </w:r>
      <w:r w:rsidRPr="00F51723">
        <w:rPr>
          <w:sz w:val="28"/>
          <w:szCs w:val="28"/>
        </w:rPr>
        <w:t xml:space="preserve"> is more clearly defined under GDPR (72 hours), while New Zealand’s language focuses on notification “as soon as practicable.”</w:t>
      </w:r>
    </w:p>
    <w:p w:rsidR="00F51723" w:rsidRPr="00F51723" w:rsidRDefault="00F51723" w:rsidP="00F51723">
      <w:pPr>
        <w:rPr>
          <w:sz w:val="28"/>
          <w:szCs w:val="28"/>
        </w:rPr>
      </w:pPr>
      <w:r w:rsidRPr="00F51723">
        <w:rPr>
          <w:sz w:val="28"/>
          <w:szCs w:val="28"/>
        </w:rPr>
        <w:t xml:space="preserve">While GDPR can impose </w:t>
      </w:r>
      <w:r w:rsidRPr="00F51723">
        <w:rPr>
          <w:b/>
          <w:bCs/>
          <w:sz w:val="28"/>
          <w:szCs w:val="28"/>
        </w:rPr>
        <w:t>multi-</w:t>
      </w:r>
      <w:proofErr w:type="gramStart"/>
      <w:r w:rsidRPr="00F51723">
        <w:rPr>
          <w:b/>
          <w:bCs/>
          <w:sz w:val="28"/>
          <w:szCs w:val="28"/>
        </w:rPr>
        <w:t>million euro</w:t>
      </w:r>
      <w:proofErr w:type="gramEnd"/>
      <w:r w:rsidRPr="00F51723">
        <w:rPr>
          <w:b/>
          <w:bCs/>
          <w:sz w:val="28"/>
          <w:szCs w:val="28"/>
        </w:rPr>
        <w:t xml:space="preserve"> fines</w:t>
      </w:r>
      <w:r w:rsidRPr="00F51723">
        <w:rPr>
          <w:sz w:val="28"/>
          <w:szCs w:val="28"/>
        </w:rPr>
        <w:t>, New Zealand’s Privacy Act penalties are modest (max NZD $10,000). However, both emphasize transparency, accountability, and consent.</w:t>
      </w:r>
    </w:p>
    <w:p w:rsidR="00F51723" w:rsidRPr="00F51723" w:rsidRDefault="00F51723" w:rsidP="00F51723">
      <w:pPr>
        <w:rPr>
          <w:sz w:val="28"/>
          <w:szCs w:val="28"/>
        </w:rPr>
      </w:pPr>
      <w:r w:rsidRPr="00F51723">
        <w:rPr>
          <w:sz w:val="28"/>
          <w:szCs w:val="28"/>
        </w:rPr>
        <w:lastRenderedPageBreak/>
        <w:t>This comparison helps identify where local organizations may need to strengthen policies to remain globally compliant — especially if handling EU citizen data.</w:t>
      </w:r>
    </w:p>
    <w:p w:rsidR="00F51723" w:rsidRPr="00EB2708" w:rsidRDefault="00F51723">
      <w:pPr>
        <w:rPr>
          <w:sz w:val="28"/>
          <w:szCs w:val="28"/>
        </w:rPr>
      </w:pPr>
    </w:p>
    <w:p w:rsidR="00F51723" w:rsidRPr="00F51723" w:rsidRDefault="00F51723" w:rsidP="00F51723">
      <w:pPr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1. Breach Reporting</w:t>
      </w:r>
    </w:p>
    <w:p w:rsidR="00F51723" w:rsidRPr="00F51723" w:rsidRDefault="00F51723" w:rsidP="00F51723">
      <w:pPr>
        <w:numPr>
          <w:ilvl w:val="0"/>
          <w:numId w:val="1"/>
        </w:numPr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NZ</w:t>
      </w:r>
      <w:r w:rsidRPr="00F51723">
        <w:rPr>
          <w:sz w:val="28"/>
          <w:szCs w:val="28"/>
        </w:rPr>
        <w:t>: "As soon as practicable" (no strict deadline)</w:t>
      </w:r>
    </w:p>
    <w:p w:rsidR="00F51723" w:rsidRPr="00F51723" w:rsidRDefault="00F51723" w:rsidP="00F51723">
      <w:pPr>
        <w:numPr>
          <w:ilvl w:val="0"/>
          <w:numId w:val="1"/>
        </w:numPr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GDPR</w:t>
      </w:r>
      <w:r w:rsidRPr="00F51723">
        <w:rPr>
          <w:sz w:val="28"/>
          <w:szCs w:val="28"/>
        </w:rPr>
        <w:t>: 72 hours with detailed documentation</w:t>
      </w:r>
    </w:p>
    <w:p w:rsidR="00F51723" w:rsidRPr="00F51723" w:rsidRDefault="00F51723" w:rsidP="00F51723">
      <w:pPr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2. Data Subject Rights</w:t>
      </w:r>
    </w:p>
    <w:p w:rsidR="00F51723" w:rsidRPr="00F51723" w:rsidRDefault="00F51723" w:rsidP="00F51723">
      <w:pPr>
        <w:numPr>
          <w:ilvl w:val="0"/>
          <w:numId w:val="2"/>
        </w:numPr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NZ</w:t>
      </w:r>
      <w:r w:rsidRPr="00F51723">
        <w:rPr>
          <w:sz w:val="28"/>
          <w:szCs w:val="28"/>
        </w:rPr>
        <w:t>: Right to access/correct only</w:t>
      </w:r>
    </w:p>
    <w:p w:rsidR="00F51723" w:rsidRPr="00F51723" w:rsidRDefault="00F51723" w:rsidP="00F51723">
      <w:pPr>
        <w:numPr>
          <w:ilvl w:val="0"/>
          <w:numId w:val="2"/>
        </w:numPr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GDPR</w:t>
      </w:r>
      <w:r w:rsidRPr="00F51723">
        <w:rPr>
          <w:sz w:val="28"/>
          <w:szCs w:val="28"/>
        </w:rPr>
        <w:t>: Adds right to erasure ("be forgotten") and portability</w:t>
      </w:r>
    </w:p>
    <w:p w:rsidR="00F51723" w:rsidRDefault="00F51723">
      <w:pPr>
        <w:rPr>
          <w:noProof/>
        </w:rPr>
      </w:pPr>
      <w:r>
        <w:rPr>
          <w:noProof/>
        </w:rPr>
        <w:drawing>
          <wp:inline distT="0" distB="0" distL="0" distR="0">
            <wp:extent cx="5731510" cy="3169285"/>
            <wp:effectExtent l="0" t="0" r="2540" b="0"/>
            <wp:docPr id="2022276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76891" name="Picture 2022276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23" w:rsidRPr="00F51723" w:rsidRDefault="00F51723" w:rsidP="00F51723"/>
    <w:p w:rsidR="00F51723" w:rsidRPr="00F51723" w:rsidRDefault="00F51723" w:rsidP="00F51723"/>
    <w:p w:rsidR="00F51723" w:rsidRDefault="00F51723" w:rsidP="00F51723">
      <w:pPr>
        <w:rPr>
          <w:noProof/>
        </w:rPr>
      </w:pPr>
    </w:p>
    <w:p w:rsidR="00EB2708" w:rsidRPr="00EB2708" w:rsidRDefault="00EB2708" w:rsidP="00EB2708">
      <w:p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Compliance Takeaways for Organizations</w:t>
      </w:r>
    </w:p>
    <w:p w:rsidR="00F51723" w:rsidRPr="00F51723" w:rsidRDefault="00F51723" w:rsidP="00F51723">
      <w:pPr>
        <w:numPr>
          <w:ilvl w:val="0"/>
          <w:numId w:val="3"/>
        </w:numPr>
        <w:tabs>
          <w:tab w:val="left" w:pos="1164"/>
        </w:tabs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For NZ Firms</w:t>
      </w:r>
      <w:r w:rsidRPr="00F51723">
        <w:rPr>
          <w:sz w:val="28"/>
          <w:szCs w:val="28"/>
        </w:rPr>
        <w:t>: GDPR compliance automatically satisfies NZ Privacy Act</w:t>
      </w:r>
    </w:p>
    <w:p w:rsidR="00F51723" w:rsidRPr="00EB2708" w:rsidRDefault="00F51723" w:rsidP="00F51723">
      <w:pPr>
        <w:numPr>
          <w:ilvl w:val="0"/>
          <w:numId w:val="3"/>
        </w:numPr>
        <w:tabs>
          <w:tab w:val="left" w:pos="1164"/>
        </w:tabs>
        <w:rPr>
          <w:sz w:val="28"/>
          <w:szCs w:val="28"/>
        </w:rPr>
      </w:pPr>
      <w:r w:rsidRPr="00F51723">
        <w:rPr>
          <w:b/>
          <w:bCs/>
          <w:sz w:val="28"/>
          <w:szCs w:val="28"/>
        </w:rPr>
        <w:t>Critical Gap</w:t>
      </w:r>
      <w:r w:rsidRPr="00F51723">
        <w:rPr>
          <w:sz w:val="28"/>
          <w:szCs w:val="28"/>
        </w:rPr>
        <w:t>: NZ lacks GDPR's "Privacy by Design" mandate (Article 25)</w:t>
      </w:r>
    </w:p>
    <w:p w:rsidR="00EB2708" w:rsidRPr="00EB2708" w:rsidRDefault="00EB2708" w:rsidP="00EB2708">
      <w:pPr>
        <w:tabs>
          <w:tab w:val="left" w:pos="1164"/>
        </w:tabs>
        <w:rPr>
          <w:sz w:val="28"/>
          <w:szCs w:val="28"/>
        </w:rPr>
      </w:pPr>
    </w:p>
    <w:p w:rsidR="00EB2708" w:rsidRDefault="00EB2708" w:rsidP="00EB2708">
      <w:pPr>
        <w:tabs>
          <w:tab w:val="left" w:pos="1164"/>
        </w:tabs>
        <w:rPr>
          <w:b/>
          <w:bCs/>
          <w:sz w:val="28"/>
          <w:szCs w:val="28"/>
        </w:rPr>
      </w:pPr>
    </w:p>
    <w:p w:rsidR="00EB2708" w:rsidRPr="00EB2708" w:rsidRDefault="00EB2708" w:rsidP="00EB2708">
      <w:p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lastRenderedPageBreak/>
        <w:t>Actionable Recommendations</w:t>
      </w:r>
    </w:p>
    <w:p w:rsidR="00EB2708" w:rsidRPr="00EB2708" w:rsidRDefault="00EB2708" w:rsidP="00EB2708">
      <w:p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For NZ Companies</w:t>
      </w:r>
      <w:r w:rsidRPr="00EB2708">
        <w:rPr>
          <w:sz w:val="28"/>
          <w:szCs w:val="28"/>
        </w:rPr>
        <w:t>:</w:t>
      </w:r>
    </w:p>
    <w:p w:rsidR="00EB2708" w:rsidRPr="00EB2708" w:rsidRDefault="00EB2708" w:rsidP="00EB2708">
      <w:pPr>
        <w:numPr>
          <w:ilvl w:val="0"/>
          <w:numId w:val="4"/>
        </w:num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Tag EU Data</w:t>
      </w:r>
      <w:r w:rsidRPr="00EB2708">
        <w:rPr>
          <w:sz w:val="28"/>
          <w:szCs w:val="28"/>
        </w:rPr>
        <w:t>: Implement metadata tagging for GDPR-protected records.</w:t>
      </w:r>
    </w:p>
    <w:p w:rsidR="00EB2708" w:rsidRPr="00EB2708" w:rsidRDefault="00EB2708" w:rsidP="00EB2708">
      <w:pPr>
        <w:numPr>
          <w:ilvl w:val="0"/>
          <w:numId w:val="4"/>
        </w:num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72-Hour Playbook</w:t>
      </w:r>
      <w:r w:rsidRPr="00EB2708">
        <w:rPr>
          <w:sz w:val="28"/>
          <w:szCs w:val="28"/>
        </w:rPr>
        <w:t>: Create a breach response template pre-approved by legal.</w:t>
      </w:r>
    </w:p>
    <w:p w:rsidR="00EB2708" w:rsidRPr="00EB2708" w:rsidRDefault="00EB2708" w:rsidP="00EB2708">
      <w:pPr>
        <w:numPr>
          <w:ilvl w:val="0"/>
          <w:numId w:val="4"/>
        </w:num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Privacy by Design</w:t>
      </w:r>
      <w:r w:rsidRPr="00EB2708">
        <w:rPr>
          <w:sz w:val="28"/>
          <w:szCs w:val="28"/>
        </w:rPr>
        <w:t>: Adopt GDPR’s Article 25 even if not legally required.</w:t>
      </w:r>
    </w:p>
    <w:p w:rsidR="00EB2708" w:rsidRPr="00EB2708" w:rsidRDefault="00EB2708" w:rsidP="00EB2708">
      <w:p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For Auditors</w:t>
      </w:r>
      <w:r w:rsidRPr="00EB2708">
        <w:rPr>
          <w:sz w:val="28"/>
          <w:szCs w:val="28"/>
        </w:rPr>
        <w:t>:</w:t>
      </w:r>
    </w:p>
    <w:p w:rsidR="00EB2708" w:rsidRDefault="00EB2708" w:rsidP="00EB2708">
      <w:pPr>
        <w:numPr>
          <w:ilvl w:val="0"/>
          <w:numId w:val="5"/>
        </w:numPr>
        <w:tabs>
          <w:tab w:val="left" w:pos="1164"/>
        </w:tabs>
        <w:rPr>
          <w:sz w:val="28"/>
          <w:szCs w:val="28"/>
        </w:rPr>
      </w:pPr>
      <w:r w:rsidRPr="00EB2708">
        <w:rPr>
          <w:b/>
          <w:bCs/>
          <w:sz w:val="28"/>
          <w:szCs w:val="28"/>
        </w:rPr>
        <w:t>Checklist</w:t>
      </w:r>
      <w:r w:rsidRPr="00EB2708">
        <w:rPr>
          <w:sz w:val="28"/>
          <w:szCs w:val="28"/>
        </w:rPr>
        <w:t>: Use this table to prioritize gap assessments.</w:t>
      </w:r>
    </w:p>
    <w:p w:rsidR="00F3770D" w:rsidRDefault="00F3770D" w:rsidP="00F3770D">
      <w:pPr>
        <w:tabs>
          <w:tab w:val="left" w:pos="1164"/>
        </w:tabs>
        <w:rPr>
          <w:sz w:val="28"/>
          <w:szCs w:val="28"/>
        </w:rPr>
      </w:pP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t>3. Compliance Roadmap for NZ Organizations</w:t>
      </w: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t>Step 1: Data Mapping</w:t>
      </w:r>
    </w:p>
    <w:p w:rsidR="00F3770D" w:rsidRPr="00F3770D" w:rsidRDefault="00F3770D" w:rsidP="00F3770D">
      <w:pPr>
        <w:numPr>
          <w:ilvl w:val="0"/>
          <w:numId w:val="6"/>
        </w:num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t>Tag all EU citizen data with GDPR_PROTECTED=True metadata</w:t>
      </w: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t>Step 2: Process 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321"/>
        <w:gridCol w:w="3712"/>
      </w:tblGrid>
      <w:tr w:rsidR="00F3770D" w:rsidRPr="00F3770D" w:rsidTr="00F3770D"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770D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770D">
              <w:rPr>
                <w:b/>
                <w:bCs/>
                <w:sz w:val="28"/>
                <w:szCs w:val="28"/>
              </w:rPr>
              <w:t>NZPA Solution</w:t>
            </w:r>
          </w:p>
        </w:tc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770D">
              <w:rPr>
                <w:b/>
                <w:bCs/>
                <w:sz w:val="28"/>
                <w:szCs w:val="28"/>
              </w:rPr>
              <w:t>GDPR Upgrade Needed</w:t>
            </w:r>
          </w:p>
        </w:tc>
      </w:tr>
      <w:tr w:rsidR="00F3770D" w:rsidRPr="00F3770D" w:rsidTr="00F3770D"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sz w:val="28"/>
                <w:szCs w:val="28"/>
              </w:rPr>
            </w:pPr>
            <w:r w:rsidRPr="00F3770D">
              <w:rPr>
                <w:sz w:val="28"/>
                <w:szCs w:val="28"/>
              </w:rPr>
              <w:t>Breach Reporting</w:t>
            </w:r>
          </w:p>
        </w:tc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sz w:val="28"/>
                <w:szCs w:val="28"/>
              </w:rPr>
            </w:pPr>
            <w:r w:rsidRPr="00F3770D">
              <w:rPr>
                <w:sz w:val="28"/>
                <w:szCs w:val="28"/>
              </w:rPr>
              <w:t>Internal playbook</w:t>
            </w:r>
          </w:p>
        </w:tc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sz w:val="28"/>
                <w:szCs w:val="28"/>
              </w:rPr>
            </w:pPr>
            <w:r w:rsidRPr="00F3770D">
              <w:rPr>
                <w:sz w:val="28"/>
                <w:szCs w:val="28"/>
              </w:rPr>
              <w:t>72-hour countdown procedure</w:t>
            </w:r>
          </w:p>
        </w:tc>
      </w:tr>
      <w:tr w:rsidR="00F3770D" w:rsidRPr="00F3770D" w:rsidTr="00F3770D"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sz w:val="28"/>
                <w:szCs w:val="28"/>
              </w:rPr>
            </w:pPr>
            <w:r w:rsidRPr="00F3770D">
              <w:rPr>
                <w:sz w:val="28"/>
                <w:szCs w:val="28"/>
              </w:rPr>
              <w:t>Subject Access</w:t>
            </w:r>
          </w:p>
        </w:tc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sz w:val="28"/>
                <w:szCs w:val="28"/>
              </w:rPr>
            </w:pPr>
            <w:r w:rsidRPr="00F3770D">
              <w:rPr>
                <w:sz w:val="28"/>
                <w:szCs w:val="28"/>
              </w:rPr>
              <w:t xml:space="preserve">Manual </w:t>
            </w:r>
            <w:proofErr w:type="spellStart"/>
            <w:r w:rsidRPr="00F3770D">
              <w:rPr>
                <w:sz w:val="28"/>
                <w:szCs w:val="28"/>
              </w:rPr>
              <w:t>fulfillment</w:t>
            </w:r>
            <w:proofErr w:type="spellEnd"/>
          </w:p>
        </w:tc>
        <w:tc>
          <w:tcPr>
            <w:tcW w:w="0" w:type="auto"/>
            <w:hideMark/>
          </w:tcPr>
          <w:p w:rsidR="00F3770D" w:rsidRPr="00F3770D" w:rsidRDefault="00F3770D" w:rsidP="00F3770D">
            <w:pPr>
              <w:tabs>
                <w:tab w:val="left" w:pos="1164"/>
              </w:tabs>
              <w:spacing w:after="160" w:line="259" w:lineRule="auto"/>
              <w:rPr>
                <w:sz w:val="28"/>
                <w:szCs w:val="28"/>
              </w:rPr>
            </w:pPr>
            <w:r w:rsidRPr="00F3770D">
              <w:rPr>
                <w:sz w:val="28"/>
                <w:szCs w:val="28"/>
              </w:rPr>
              <w:t>Automated erasure workflow</w:t>
            </w:r>
          </w:p>
        </w:tc>
      </w:tr>
    </w:tbl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t>Step 3: Training</w:t>
      </w:r>
    </w:p>
    <w:p w:rsidR="00F3770D" w:rsidRPr="00F3770D" w:rsidRDefault="00F3770D" w:rsidP="00F3770D">
      <w:pPr>
        <w:numPr>
          <w:ilvl w:val="0"/>
          <w:numId w:val="7"/>
        </w:num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t>Conduct workshops on:</w:t>
      </w:r>
    </w:p>
    <w:p w:rsidR="00F3770D" w:rsidRPr="00F3770D" w:rsidRDefault="00F3770D" w:rsidP="00F3770D">
      <w:pPr>
        <w:numPr>
          <w:ilvl w:val="1"/>
          <w:numId w:val="7"/>
        </w:num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t>Recognizing EU vs. NZ data triggers</w:t>
      </w:r>
    </w:p>
    <w:p w:rsidR="00F3770D" w:rsidRPr="00F3770D" w:rsidRDefault="00F3770D" w:rsidP="00F3770D">
      <w:pPr>
        <w:numPr>
          <w:ilvl w:val="1"/>
          <w:numId w:val="7"/>
        </w:num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t>GDPR’s "Privacy by Design" principles</w:t>
      </w: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t>4. Case Study: Auckland SaaS Firm</w:t>
      </w: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t>Challenge</w:t>
      </w:r>
      <w:r w:rsidRPr="00F3770D">
        <w:rPr>
          <w:sz w:val="28"/>
          <w:szCs w:val="28"/>
        </w:rPr>
        <w:t>: Nearly missed GDPR’s 72-hour breach window for EU users.</w:t>
      </w:r>
      <w:r w:rsidRPr="00F3770D">
        <w:rPr>
          <w:sz w:val="28"/>
          <w:szCs w:val="28"/>
        </w:rPr>
        <w:br/>
      </w:r>
      <w:r w:rsidRPr="00F3770D">
        <w:rPr>
          <w:b/>
          <w:bCs/>
          <w:sz w:val="28"/>
          <w:szCs w:val="28"/>
        </w:rPr>
        <w:t>Solution</w:t>
      </w:r>
      <w:r w:rsidRPr="00F3770D">
        <w:rPr>
          <w:sz w:val="28"/>
          <w:szCs w:val="28"/>
        </w:rPr>
        <w:t>: Implemented:</w:t>
      </w:r>
    </w:p>
    <w:p w:rsidR="00F3770D" w:rsidRPr="00F3770D" w:rsidRDefault="00F3770D" w:rsidP="00F3770D">
      <w:pPr>
        <w:numPr>
          <w:ilvl w:val="0"/>
          <w:numId w:val="8"/>
        </w:num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t>Automated alerts for breaches involving GDPR_PROTECTED tagged data</w:t>
      </w:r>
    </w:p>
    <w:p w:rsidR="00F3770D" w:rsidRPr="00F3770D" w:rsidRDefault="00F3770D" w:rsidP="00F3770D">
      <w:pPr>
        <w:numPr>
          <w:ilvl w:val="0"/>
          <w:numId w:val="8"/>
        </w:num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t>Pre-drafted notification templates approved by EU legal counsel</w:t>
      </w:r>
      <w:r w:rsidRPr="00F3770D">
        <w:rPr>
          <w:sz w:val="28"/>
          <w:szCs w:val="28"/>
        </w:rPr>
        <w:br/>
      </w:r>
      <w:r w:rsidRPr="00F3770D">
        <w:rPr>
          <w:b/>
          <w:bCs/>
          <w:sz w:val="28"/>
          <w:szCs w:val="28"/>
        </w:rPr>
        <w:t>Outcome</w:t>
      </w:r>
      <w:r w:rsidRPr="00F3770D">
        <w:rPr>
          <w:sz w:val="28"/>
          <w:szCs w:val="28"/>
        </w:rPr>
        <w:t>: Avoided potential €50k fine.</w:t>
      </w: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sz w:val="28"/>
          <w:szCs w:val="28"/>
        </w:rPr>
        <w:pict>
          <v:rect id="_x0000_i1038" style="width:0;height:.75pt" o:hralign="center" o:hrstd="t" o:hrnoshade="t" o:hr="t" fillcolor="#f8faff" stroked="f"/>
        </w:pict>
      </w:r>
    </w:p>
    <w:p w:rsidR="00F3770D" w:rsidRPr="00F3770D" w:rsidRDefault="00F3770D" w:rsidP="00F3770D">
      <w:pPr>
        <w:tabs>
          <w:tab w:val="left" w:pos="1164"/>
        </w:tabs>
        <w:rPr>
          <w:sz w:val="28"/>
          <w:szCs w:val="28"/>
        </w:rPr>
      </w:pPr>
      <w:r w:rsidRPr="00F3770D">
        <w:rPr>
          <w:b/>
          <w:bCs/>
          <w:sz w:val="28"/>
          <w:szCs w:val="28"/>
        </w:rPr>
        <w:lastRenderedPageBreak/>
        <w:t>5. Resources</w:t>
      </w:r>
    </w:p>
    <w:p w:rsidR="00F3770D" w:rsidRPr="00F3770D" w:rsidRDefault="00F3770D" w:rsidP="00F3770D">
      <w:pPr>
        <w:numPr>
          <w:ilvl w:val="0"/>
          <w:numId w:val="9"/>
        </w:numPr>
        <w:tabs>
          <w:tab w:val="left" w:pos="1164"/>
        </w:tabs>
        <w:rPr>
          <w:sz w:val="28"/>
          <w:szCs w:val="28"/>
        </w:rPr>
      </w:pPr>
      <w:hyperlink r:id="rId6" w:tgtFrame="_blank" w:history="1">
        <w:r w:rsidRPr="00F3770D">
          <w:rPr>
            <w:rStyle w:val="Hyperlink"/>
            <w:sz w:val="28"/>
            <w:szCs w:val="28"/>
          </w:rPr>
          <w:t>Full NZ Privacy Act Text</w:t>
        </w:r>
      </w:hyperlink>
    </w:p>
    <w:p w:rsidR="00F3770D" w:rsidRPr="00F3770D" w:rsidRDefault="00F3770D" w:rsidP="00F3770D">
      <w:pPr>
        <w:numPr>
          <w:ilvl w:val="0"/>
          <w:numId w:val="9"/>
        </w:numPr>
        <w:tabs>
          <w:tab w:val="left" w:pos="1164"/>
        </w:tabs>
        <w:rPr>
          <w:sz w:val="28"/>
          <w:szCs w:val="28"/>
        </w:rPr>
      </w:pPr>
      <w:hyperlink r:id="rId7" w:tgtFrame="_blank" w:history="1">
        <w:r w:rsidRPr="00F3770D">
          <w:rPr>
            <w:rStyle w:val="Hyperlink"/>
            <w:sz w:val="28"/>
            <w:szCs w:val="28"/>
          </w:rPr>
          <w:t>GDPR Official Guidelines</w:t>
        </w:r>
      </w:hyperlink>
    </w:p>
    <w:p w:rsidR="00F3770D" w:rsidRPr="00F3770D" w:rsidRDefault="00F3770D" w:rsidP="00F3770D">
      <w:pPr>
        <w:numPr>
          <w:ilvl w:val="0"/>
          <w:numId w:val="9"/>
        </w:numPr>
        <w:tabs>
          <w:tab w:val="left" w:pos="1164"/>
        </w:tabs>
        <w:rPr>
          <w:sz w:val="28"/>
          <w:szCs w:val="28"/>
        </w:rPr>
      </w:pPr>
      <w:hyperlink r:id="rId8" w:tgtFrame="_blank" w:history="1">
        <w:r w:rsidRPr="00F3770D">
          <w:rPr>
            <w:rStyle w:val="Hyperlink"/>
            <w:sz w:val="28"/>
            <w:szCs w:val="28"/>
          </w:rPr>
          <w:t>Compliance Checklist Template</w:t>
        </w:r>
      </w:hyperlink>
    </w:p>
    <w:p w:rsidR="00F3770D" w:rsidRPr="00EB2708" w:rsidRDefault="00F3770D" w:rsidP="00F3770D">
      <w:pPr>
        <w:tabs>
          <w:tab w:val="left" w:pos="1164"/>
        </w:tabs>
        <w:rPr>
          <w:sz w:val="28"/>
          <w:szCs w:val="28"/>
        </w:rPr>
      </w:pPr>
    </w:p>
    <w:p w:rsidR="00EB2708" w:rsidRPr="00F51723" w:rsidRDefault="00EB2708" w:rsidP="00EB2708">
      <w:pPr>
        <w:tabs>
          <w:tab w:val="left" w:pos="1164"/>
        </w:tabs>
        <w:rPr>
          <w:sz w:val="28"/>
          <w:szCs w:val="28"/>
        </w:rPr>
      </w:pPr>
    </w:p>
    <w:p w:rsidR="00F51723" w:rsidRPr="00EB2708" w:rsidRDefault="00F51723" w:rsidP="00F51723">
      <w:pPr>
        <w:tabs>
          <w:tab w:val="left" w:pos="1164"/>
        </w:tabs>
        <w:rPr>
          <w:sz w:val="28"/>
          <w:szCs w:val="28"/>
        </w:rPr>
      </w:pPr>
    </w:p>
    <w:sectPr w:rsidR="00F51723" w:rsidRPr="00EB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75B0"/>
    <w:multiLevelType w:val="multilevel"/>
    <w:tmpl w:val="69B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0C58"/>
    <w:multiLevelType w:val="multilevel"/>
    <w:tmpl w:val="94E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624B"/>
    <w:multiLevelType w:val="multilevel"/>
    <w:tmpl w:val="439A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24E5E"/>
    <w:multiLevelType w:val="multilevel"/>
    <w:tmpl w:val="703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216A6"/>
    <w:multiLevelType w:val="multilevel"/>
    <w:tmpl w:val="061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B0462"/>
    <w:multiLevelType w:val="multilevel"/>
    <w:tmpl w:val="8D2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9727B"/>
    <w:multiLevelType w:val="multilevel"/>
    <w:tmpl w:val="436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42887"/>
    <w:multiLevelType w:val="multilevel"/>
    <w:tmpl w:val="079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62C25"/>
    <w:multiLevelType w:val="multilevel"/>
    <w:tmpl w:val="86B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498173">
    <w:abstractNumId w:val="5"/>
  </w:num>
  <w:num w:numId="2" w16cid:durableId="3944370">
    <w:abstractNumId w:val="3"/>
  </w:num>
  <w:num w:numId="3" w16cid:durableId="1867787050">
    <w:abstractNumId w:val="6"/>
  </w:num>
  <w:num w:numId="4" w16cid:durableId="2139184923">
    <w:abstractNumId w:val="2"/>
  </w:num>
  <w:num w:numId="5" w16cid:durableId="1993634986">
    <w:abstractNumId w:val="7"/>
  </w:num>
  <w:num w:numId="6" w16cid:durableId="568536639">
    <w:abstractNumId w:val="8"/>
  </w:num>
  <w:num w:numId="7" w16cid:durableId="1643847768">
    <w:abstractNumId w:val="4"/>
  </w:num>
  <w:num w:numId="8" w16cid:durableId="885026159">
    <w:abstractNumId w:val="0"/>
  </w:num>
  <w:num w:numId="9" w16cid:durableId="75952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07"/>
    <w:rsid w:val="006F7107"/>
    <w:rsid w:val="008C749A"/>
    <w:rsid w:val="00917E7B"/>
    <w:rsid w:val="009E59FF"/>
    <w:rsid w:val="00D30E07"/>
    <w:rsid w:val="00EB2708"/>
    <w:rsid w:val="00F3770D"/>
    <w:rsid w:val="00F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EFCE"/>
  <w15:chartTrackingRefBased/>
  <w15:docId w15:val="{D29CCCE5-D6E2-4943-A09E-2ADCC43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github-lin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dpr-info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vacy.org.nz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D'costa</dc:creator>
  <cp:keywords/>
  <dc:description/>
  <cp:lastModifiedBy>Rachel D'costa</cp:lastModifiedBy>
  <cp:revision>4</cp:revision>
  <dcterms:created xsi:type="dcterms:W3CDTF">2025-05-27T23:36:00Z</dcterms:created>
  <dcterms:modified xsi:type="dcterms:W3CDTF">2025-05-27T23:49:00Z</dcterms:modified>
</cp:coreProperties>
</file>