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AE7095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AE7095" w:rsidRDefault="00951297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AE7095" w:rsidRDefault="00951297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AE7095" w:rsidRDefault="00AE7095">
            <w:pPr>
              <w:pStyle w:val="TableGrid1"/>
              <w:rPr>
                <w:rFonts w:ascii="Cambria" w:hAnsi="Cambria"/>
                <w:sz w:val="18"/>
              </w:rPr>
            </w:pPr>
          </w:p>
          <w:p w:rsidR="00AE7095" w:rsidRDefault="00951297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AE7095" w:rsidRDefault="00951297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E7095" w:rsidRDefault="00AE7095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AE7095" w:rsidRDefault="00951297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AE7095" w:rsidRDefault="00AE7095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AE7095" w:rsidRDefault="00951297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AE7095" w:rsidRDefault="00951297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AE7095" w:rsidRDefault="00AE7095">
      <w:pPr>
        <w:spacing w:line="240" w:lineRule="auto"/>
        <w:rPr>
          <w:rFonts w:ascii="Franklin Gothic Book" w:hAnsi="Franklin Gothic Book"/>
          <w:sz w:val="18"/>
        </w:rPr>
      </w:pPr>
    </w:p>
    <w:p w:rsidR="00AE7095" w:rsidRDefault="00AE7095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231"/>
        <w:tblW w:w="11016" w:type="dxa"/>
        <w:tblLayout w:type="fixed"/>
        <w:tblLook w:val="0000"/>
      </w:tblPr>
      <w:tblGrid>
        <w:gridCol w:w="5508"/>
        <w:gridCol w:w="5508"/>
      </w:tblGrid>
      <w:tr w:rsidR="00D97364" w:rsidTr="00D97364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S.1314-0142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9, 2013</w:t>
            </w:r>
          </w:p>
        </w:tc>
      </w:tr>
      <w:tr w:rsidR="00D97364" w:rsidTr="00D9736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Witte, Sen. Rook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D97364" w:rsidTr="00D9736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6-2-1</w:t>
            </w:r>
          </w:p>
        </w:tc>
      </w:tr>
      <w:tr w:rsidR="00D97364" w:rsidTr="00D97364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EA132F">
              <w:rPr>
                <w:rFonts w:ascii="Times New Roman Bold" w:hAnsi="Times New Roman Bold"/>
              </w:rPr>
              <w:t>23-11-4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364" w:rsidRDefault="00D97364" w:rsidP="00D97364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EA132F">
              <w:rPr>
                <w:rFonts w:ascii="Times New Roman Bold" w:hAnsi="Times New Roman Bold"/>
              </w:rPr>
              <w:t>Pass</w:t>
            </w:r>
          </w:p>
        </w:tc>
      </w:tr>
    </w:tbl>
    <w:p w:rsidR="00EA132F" w:rsidRDefault="00951297" w:rsidP="00EA132F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</w:t>
      </w:r>
      <w:proofErr w:type="spellStart"/>
      <w:r>
        <w:t>UAlbany</w:t>
      </w:r>
      <w:proofErr w:type="spellEnd"/>
      <w:r>
        <w:t xml:space="preserve"> Foundation receives the following allocation with funds being transferred from the Student Association’s </w:t>
      </w:r>
      <w:r w:rsidR="00EA132F">
        <w:t>Reserve A</w:t>
      </w:r>
      <w:r>
        <w:t>ccounts.</w:t>
      </w:r>
    </w:p>
    <w:p w:rsidR="00AE7095" w:rsidRDefault="00951297" w:rsidP="00EA132F">
      <w:pPr>
        <w:pStyle w:val="NormalWeb1"/>
        <w:numPr>
          <w:ilvl w:val="0"/>
          <w:numId w:val="4"/>
        </w:numPr>
        <w:spacing w:after="0"/>
        <w:ind w:left="720"/>
      </w:pPr>
      <w:r>
        <w:t xml:space="preserve">That this donation </w:t>
      </w:r>
      <w:r w:rsidR="00AE7095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AE7095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AE7095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AE7095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AE7095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AE7095" w:rsidRDefault="0095129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AE7095" w:rsidRDefault="00AE7095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AE7095" w:rsidRDefault="00AE7095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>be allocated for the sole purp</w:t>
      </w:r>
      <w:r w:rsidR="00EA132F">
        <w:t>ose of funding toward Bob Ford</w:t>
      </w:r>
      <w:r>
        <w:t xml:space="preserve"> Field. </w:t>
      </w:r>
    </w:p>
    <w:p w:rsidR="00EA132F" w:rsidRDefault="00EA132F" w:rsidP="00EA132F">
      <w:pPr>
        <w:pStyle w:val="NormalWeb1"/>
        <w:numPr>
          <w:ilvl w:val="0"/>
          <w:numId w:val="4"/>
        </w:numPr>
        <w:spacing w:after="0"/>
        <w:ind w:left="720"/>
      </w:pPr>
      <w:r>
        <w:t>That no particular student shall receive credit for this donation.</w:t>
      </w:r>
    </w:p>
    <w:p w:rsidR="00EA132F" w:rsidRDefault="00EA132F" w:rsidP="00EA132F">
      <w:pPr>
        <w:pStyle w:val="NormalWeb1"/>
        <w:numPr>
          <w:ilvl w:val="0"/>
          <w:numId w:val="4"/>
        </w:numPr>
        <w:spacing w:after="0"/>
        <w:ind w:left="720"/>
      </w:pPr>
      <w:r>
        <w:t>That this donation be made on behalf of the entire Student Association.</w:t>
      </w:r>
    </w:p>
    <w:p w:rsidR="00AE7095" w:rsidRDefault="00AE7095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AE7095" w:rsidTr="00D9736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AE7095" w:rsidTr="00D9736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Donation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$12878</w:t>
            </w:r>
          </w:p>
        </w:tc>
      </w:tr>
      <w:tr w:rsidR="00AE7095" w:rsidTr="00D9736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AE7095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7095" w:rsidRDefault="00951297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$12878</w:t>
            </w:r>
          </w:p>
        </w:tc>
      </w:tr>
    </w:tbl>
    <w:p w:rsidR="00AE7095" w:rsidRDefault="00951297" w:rsidP="00EA132F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AE7095" w:rsidRDefault="00AE7095">
      <w:pPr>
        <w:ind w:left="1080"/>
        <w:rPr>
          <w:rFonts w:ascii="Calibri Bold" w:hAnsi="Calibri Bold"/>
        </w:rPr>
      </w:pPr>
    </w:p>
    <w:p w:rsidR="00AE7095" w:rsidRDefault="00AE7095">
      <w:pPr>
        <w:rPr>
          <w:lang w:val="it-IT"/>
        </w:rPr>
      </w:pPr>
    </w:p>
    <w:p w:rsidR="00AE7095" w:rsidRDefault="00AE7095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margin" w:tblpXSpec="right" w:tblpY="64"/>
        <w:tblW w:w="0" w:type="auto"/>
        <w:tblLayout w:type="fixed"/>
        <w:tblLook w:val="0000"/>
      </w:tblPr>
      <w:tblGrid>
        <w:gridCol w:w="4488"/>
      </w:tblGrid>
      <w:tr w:rsidR="00EA132F" w:rsidTr="00EA132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A132F" w:rsidRDefault="00EA132F" w:rsidP="00EA132F">
            <w:pPr>
              <w:pStyle w:val="TableGrid1"/>
              <w:jc w:val="right"/>
            </w:pPr>
          </w:p>
        </w:tc>
      </w:tr>
      <w:tr w:rsidR="00EA132F" w:rsidTr="00EA132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132F" w:rsidRDefault="00EA132F" w:rsidP="00EA132F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951297" w:rsidRDefault="00951297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951297" w:rsidSect="00AE7095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1FE" w:rsidRDefault="005211FE">
      <w:pPr>
        <w:spacing w:after="0" w:line="240" w:lineRule="auto"/>
      </w:pPr>
      <w:r>
        <w:separator/>
      </w:r>
    </w:p>
  </w:endnote>
  <w:endnote w:type="continuationSeparator" w:id="0">
    <w:p w:rsidR="005211FE" w:rsidRDefault="0052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95" w:rsidRDefault="00AE7095">
    <w:pPr>
      <w:pStyle w:val="Footer1"/>
      <w:jc w:val="center"/>
      <w:rPr>
        <w:rFonts w:ascii="Times New Roman Bold" w:hAnsi="Times New Roman Bold"/>
        <w:sz w:val="20"/>
      </w:rPr>
    </w:pPr>
  </w:p>
  <w:p w:rsidR="00AE7095" w:rsidRDefault="00AE7095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AE7095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AE7095" w:rsidRDefault="00AE7095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95" w:rsidRDefault="00AE7095">
    <w:pPr>
      <w:pStyle w:val="Footer1"/>
      <w:jc w:val="center"/>
      <w:rPr>
        <w:rFonts w:ascii="Times New Roman Bold" w:hAnsi="Times New Roman Bold"/>
        <w:sz w:val="20"/>
      </w:rPr>
    </w:pPr>
  </w:p>
  <w:p w:rsidR="00AE7095" w:rsidRDefault="00AE7095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AE7095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AE7095" w:rsidRDefault="00951297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AE7095" w:rsidRDefault="00AE7095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1FE" w:rsidRDefault="005211FE">
      <w:pPr>
        <w:spacing w:after="0" w:line="240" w:lineRule="auto"/>
      </w:pPr>
      <w:r>
        <w:separator/>
      </w:r>
    </w:p>
  </w:footnote>
  <w:footnote w:type="continuationSeparator" w:id="0">
    <w:p w:rsidR="005211FE" w:rsidRDefault="00521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1E5141BB"/>
    <w:multiLevelType w:val="hybridMultilevel"/>
    <w:tmpl w:val="47EC9F40"/>
    <w:lvl w:ilvl="0" w:tplc="7326F5C6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364"/>
    <w:rsid w:val="005211FE"/>
    <w:rsid w:val="00951297"/>
    <w:rsid w:val="00AE7095"/>
    <w:rsid w:val="00D97364"/>
    <w:rsid w:val="00EA1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AE7095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AE7095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AE7095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sid w:val="00AE7095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AE7095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AE7095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AE7095"/>
  </w:style>
  <w:style w:type="paragraph" w:customStyle="1" w:styleId="LightShading1">
    <w:name w:val="Light Shading1"/>
    <w:rsid w:val="00AE7095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3</cp:revision>
  <dcterms:created xsi:type="dcterms:W3CDTF">2013-10-09T01:02:00Z</dcterms:created>
  <dcterms:modified xsi:type="dcterms:W3CDTF">2013-10-11T19:34:00Z</dcterms:modified>
</cp:coreProperties>
</file>