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1AA76" w14:textId="4CBE8FA5" w:rsidR="006E0169" w:rsidRDefault="00AD5075" w:rsidP="006E016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Study</w:t>
      </w:r>
      <w:r w:rsidR="006E0169">
        <w:rPr>
          <w:rFonts w:ascii="Times New Roman" w:hAnsi="Times New Roman" w:cs="Times New Roman"/>
          <w:b/>
          <w:sz w:val="24"/>
          <w:szCs w:val="24"/>
        </w:rPr>
        <w:t xml:space="preserve"> Hypotheses and Research Questions</w:t>
      </w:r>
    </w:p>
    <w:p w14:paraId="6CF8C5E1" w14:textId="77777777" w:rsidR="006E0169" w:rsidRPr="007564A0" w:rsidRDefault="006E0169" w:rsidP="006E0169">
      <w:pPr>
        <w:spacing w:after="0" w:line="240" w:lineRule="auto"/>
        <w:ind w:left="720"/>
        <w:rPr>
          <w:rFonts w:ascii="Times New Roman" w:hAnsi="Times New Roman" w:cs="Times New Roman"/>
          <w:sz w:val="24"/>
          <w:szCs w:val="24"/>
        </w:rPr>
      </w:pPr>
      <w:r w:rsidRPr="007564A0">
        <w:rPr>
          <w:rFonts w:ascii="Times New Roman" w:hAnsi="Times New Roman" w:cs="Times New Roman"/>
          <w:sz w:val="24"/>
          <w:szCs w:val="24"/>
        </w:rPr>
        <w:t>Hypothesis 1: Leader vision will positively relate to LMX scores (both closed- and open-ended responses on LMX)</w:t>
      </w:r>
    </w:p>
    <w:p w14:paraId="1ECC4B91" w14:textId="77777777" w:rsidR="006E0169" w:rsidRPr="007564A0" w:rsidRDefault="006E0169" w:rsidP="006E0169">
      <w:pPr>
        <w:spacing w:after="0" w:line="240" w:lineRule="auto"/>
        <w:ind w:left="720"/>
        <w:rPr>
          <w:rFonts w:ascii="Times New Roman" w:hAnsi="Times New Roman" w:cs="Times New Roman"/>
          <w:sz w:val="24"/>
          <w:szCs w:val="24"/>
        </w:rPr>
      </w:pPr>
    </w:p>
    <w:p w14:paraId="1E7BB2D9" w14:textId="77777777" w:rsidR="006E0169" w:rsidRPr="007564A0" w:rsidRDefault="006E0169" w:rsidP="006E0169">
      <w:pPr>
        <w:spacing w:after="0" w:line="240" w:lineRule="auto"/>
        <w:ind w:left="720"/>
        <w:rPr>
          <w:rFonts w:ascii="Times New Roman" w:hAnsi="Times New Roman" w:cs="Times New Roman"/>
          <w:sz w:val="24"/>
          <w:szCs w:val="24"/>
        </w:rPr>
      </w:pPr>
      <w:r w:rsidRPr="007564A0">
        <w:rPr>
          <w:rFonts w:ascii="Times New Roman" w:hAnsi="Times New Roman" w:cs="Times New Roman"/>
          <w:sz w:val="24"/>
          <w:szCs w:val="24"/>
        </w:rPr>
        <w:t>Hypothesis 2: LMX (both closed- and open-ended responses) will positively relate to employee (a) empowerment, (b) perceived organizational support, (c) satisfaction with supervisor, and (d) turnover intentions</w:t>
      </w:r>
    </w:p>
    <w:p w14:paraId="0A88F904" w14:textId="77777777" w:rsidR="006E0169" w:rsidRPr="007564A0" w:rsidRDefault="006E0169" w:rsidP="006E0169">
      <w:pPr>
        <w:spacing w:after="0" w:line="240" w:lineRule="auto"/>
        <w:ind w:left="720"/>
        <w:rPr>
          <w:rFonts w:ascii="Times New Roman" w:hAnsi="Times New Roman" w:cs="Times New Roman"/>
          <w:sz w:val="24"/>
          <w:szCs w:val="24"/>
        </w:rPr>
      </w:pPr>
    </w:p>
    <w:p w14:paraId="43C5BB2F" w14:textId="77777777" w:rsidR="006E0169" w:rsidRPr="007564A0" w:rsidRDefault="006E0169" w:rsidP="006E0169">
      <w:pPr>
        <w:spacing w:after="0" w:line="240" w:lineRule="auto"/>
        <w:ind w:left="720"/>
        <w:rPr>
          <w:rFonts w:ascii="Times New Roman" w:hAnsi="Times New Roman" w:cs="Times New Roman"/>
          <w:sz w:val="24"/>
          <w:szCs w:val="24"/>
        </w:rPr>
      </w:pPr>
      <w:r w:rsidRPr="007564A0">
        <w:rPr>
          <w:rFonts w:ascii="Times New Roman" w:hAnsi="Times New Roman" w:cs="Times New Roman"/>
          <w:sz w:val="24"/>
          <w:szCs w:val="24"/>
        </w:rPr>
        <w:t>Research Question 1: To what extent are followers’ descriptions of LMX in their open-ended responses contingent upon the leader’s level in the organization?</w:t>
      </w:r>
    </w:p>
    <w:p w14:paraId="13AAE4C6" w14:textId="77777777" w:rsidR="006E0169" w:rsidRPr="007564A0" w:rsidRDefault="006E0169" w:rsidP="006E0169">
      <w:pPr>
        <w:spacing w:after="0" w:line="240" w:lineRule="auto"/>
        <w:ind w:left="720"/>
        <w:rPr>
          <w:rFonts w:ascii="Times New Roman" w:hAnsi="Times New Roman" w:cs="Times New Roman"/>
          <w:sz w:val="24"/>
          <w:szCs w:val="24"/>
        </w:rPr>
      </w:pPr>
    </w:p>
    <w:p w14:paraId="1E174C95" w14:textId="77777777" w:rsidR="006E0169" w:rsidRPr="007564A0" w:rsidRDefault="006E0169" w:rsidP="006E0169">
      <w:pPr>
        <w:spacing w:after="0" w:line="240" w:lineRule="auto"/>
        <w:ind w:left="720"/>
        <w:rPr>
          <w:rFonts w:ascii="Times New Roman" w:hAnsi="Times New Roman" w:cs="Times New Roman"/>
          <w:sz w:val="24"/>
          <w:szCs w:val="24"/>
        </w:rPr>
      </w:pPr>
      <w:r w:rsidRPr="007564A0">
        <w:rPr>
          <w:rFonts w:ascii="Times New Roman" w:hAnsi="Times New Roman" w:cs="Times New Roman"/>
          <w:sz w:val="24"/>
          <w:szCs w:val="24"/>
        </w:rPr>
        <w:t>Research Question 2: To what extent does LMX in their open-ended responses depend on country, gender (both leader and follower) and industry?</w:t>
      </w:r>
    </w:p>
    <w:p w14:paraId="7EE1C2FF" w14:textId="77777777" w:rsidR="006E0169" w:rsidRPr="0043397F" w:rsidRDefault="006E0169" w:rsidP="006E0169">
      <w:pPr>
        <w:spacing w:after="0" w:line="240" w:lineRule="auto"/>
        <w:ind w:left="720"/>
        <w:rPr>
          <w:rFonts w:ascii="Times New Roman" w:hAnsi="Times New Roman" w:cs="Times New Roman"/>
          <w:sz w:val="24"/>
          <w:szCs w:val="24"/>
        </w:rPr>
      </w:pPr>
    </w:p>
    <w:p w14:paraId="3602ACCB" w14:textId="77777777" w:rsidR="006E0169" w:rsidRPr="0043397F" w:rsidRDefault="006E0169" w:rsidP="006E0169">
      <w:pPr>
        <w:spacing w:after="0" w:line="240" w:lineRule="auto"/>
        <w:ind w:left="720"/>
        <w:rPr>
          <w:rFonts w:ascii="Times New Roman" w:hAnsi="Times New Roman" w:cs="Times New Roman"/>
          <w:sz w:val="24"/>
          <w:szCs w:val="24"/>
        </w:rPr>
      </w:pPr>
      <w:r w:rsidRPr="0043397F">
        <w:rPr>
          <w:rFonts w:ascii="Times New Roman" w:hAnsi="Times New Roman" w:cs="Times New Roman"/>
          <w:sz w:val="24"/>
          <w:szCs w:val="24"/>
        </w:rPr>
        <w:t>Research Question 3: To what extent do closed-ended LMX scores relate to open-ended LMX scores?</w:t>
      </w:r>
    </w:p>
    <w:p w14:paraId="37843E37" w14:textId="77777777" w:rsidR="001D1432" w:rsidRPr="0043397F" w:rsidRDefault="001D1432" w:rsidP="006E0169">
      <w:pPr>
        <w:spacing w:after="0" w:line="240" w:lineRule="auto"/>
        <w:ind w:left="720"/>
        <w:rPr>
          <w:rFonts w:ascii="Times New Roman" w:hAnsi="Times New Roman" w:cs="Times New Roman"/>
          <w:sz w:val="24"/>
          <w:szCs w:val="24"/>
        </w:rPr>
      </w:pPr>
    </w:p>
    <w:p w14:paraId="31F58920" w14:textId="2A6491E3" w:rsidR="006E0169" w:rsidRPr="0043397F" w:rsidRDefault="006E0169" w:rsidP="006E0169">
      <w:pPr>
        <w:spacing w:after="0" w:line="480" w:lineRule="auto"/>
        <w:jc w:val="center"/>
        <w:rPr>
          <w:rFonts w:ascii="Times New Roman" w:hAnsi="Times New Roman" w:cs="Times New Roman"/>
          <w:b/>
          <w:sz w:val="24"/>
          <w:szCs w:val="24"/>
        </w:rPr>
      </w:pPr>
      <w:r w:rsidRPr="0043397F">
        <w:rPr>
          <w:rFonts w:ascii="Times New Roman" w:hAnsi="Times New Roman" w:cs="Times New Roman"/>
          <w:b/>
          <w:sz w:val="24"/>
          <w:szCs w:val="24"/>
        </w:rPr>
        <w:t xml:space="preserve">Developing </w:t>
      </w:r>
      <w:r w:rsidR="00966E6B">
        <w:rPr>
          <w:rFonts w:ascii="Times New Roman" w:hAnsi="Times New Roman" w:cs="Times New Roman"/>
          <w:b/>
          <w:sz w:val="24"/>
          <w:szCs w:val="24"/>
        </w:rPr>
        <w:t>Scale S</w:t>
      </w:r>
      <w:r w:rsidR="00D779FA" w:rsidRPr="0043397F">
        <w:rPr>
          <w:rFonts w:ascii="Times New Roman" w:hAnsi="Times New Roman" w:cs="Times New Roman"/>
          <w:b/>
          <w:sz w:val="24"/>
          <w:szCs w:val="24"/>
        </w:rPr>
        <w:t>cores</w:t>
      </w:r>
      <w:r w:rsidR="007D291A" w:rsidRPr="0043397F">
        <w:rPr>
          <w:rFonts w:ascii="Times New Roman" w:hAnsi="Times New Roman" w:cs="Times New Roman"/>
          <w:b/>
          <w:sz w:val="24"/>
          <w:szCs w:val="24"/>
        </w:rPr>
        <w:t xml:space="preserve"> and Hypothesis Testing</w:t>
      </w:r>
    </w:p>
    <w:p w14:paraId="57E17907" w14:textId="12FE7311" w:rsidR="00D779FA" w:rsidRPr="00EB153A" w:rsidRDefault="00D779FA" w:rsidP="00D779FA">
      <w:pPr>
        <w:spacing w:after="0" w:line="480" w:lineRule="auto"/>
        <w:ind w:firstLine="720"/>
      </w:pPr>
      <w:r w:rsidRPr="0043397F">
        <w:rPr>
          <w:rFonts w:ascii="Times New Roman" w:hAnsi="Times New Roman" w:cs="Times New Roman"/>
          <w:sz w:val="24"/>
          <w:szCs w:val="24"/>
        </w:rPr>
        <w:t xml:space="preserve">Although not appropriate in all circumstances, researchers often wish to quantify text in meaningful ways in order to run descriptive and inferential statistics. In order to minimize the loss of information in the qualitative to quantitative transformation, we first recommend that researchers consider identifying construct definitions from the extant literature or developing working </w:t>
      </w:r>
      <w:r w:rsidRPr="00EB153A">
        <w:rPr>
          <w:rFonts w:ascii="Times New Roman" w:hAnsi="Times New Roman" w:cs="Times New Roman"/>
          <w:sz w:val="24"/>
          <w:szCs w:val="24"/>
        </w:rPr>
        <w:t xml:space="preserve">definitions of the topics to facilitate the selection of words for a word list </w:t>
      </w:r>
      <w:r w:rsidR="0043397F" w:rsidRPr="00EB153A">
        <w:rPr>
          <w:rFonts w:ascii="Times New Roman" w:hAnsi="Times New Roman" w:cs="Times New Roman"/>
          <w:sz w:val="24"/>
          <w:szCs w:val="24"/>
        </w:rPr>
        <w:fldChar w:fldCharType="begin"/>
      </w:r>
      <w:r w:rsidR="0043397F" w:rsidRPr="00EB153A">
        <w:rPr>
          <w:rFonts w:ascii="Times New Roman" w:hAnsi="Times New Roman" w:cs="Times New Roman"/>
          <w:sz w:val="24"/>
          <w:szCs w:val="24"/>
        </w:rPr>
        <w:instrText xml:space="preserve"> ADDIN EN.CITE &lt;EndNote&gt;&lt;Cite&gt;&lt;Author&gt;Short&lt;/Author&gt;&lt;Year&gt;2010&lt;/Year&gt;&lt;RecNum&gt;70&lt;/RecNum&gt;&lt;DisplayText&gt;(Short, Broberg, Cogliser, &amp;amp; Brigham, 2010)&lt;/DisplayText&gt;&lt;record&gt;&lt;rec-number&gt;70&lt;/rec-number&gt;&lt;foreign-keys&gt;&lt;key app="EN" db-id="x0zsrez2lewpvbevt9j5zr9sffdpdpvep5fr" timestamp="1492624152"&gt;70&lt;/key&gt;&lt;/foreign-keys&gt;&lt;ref-type name="Journal Article"&gt;17&lt;/ref-type&gt;&lt;contributors&gt;&lt;authors&gt;&lt;author&gt;Short, Jeremy C&lt;/author&gt;&lt;author&gt;Broberg, J Christian&lt;/author&gt;&lt;author&gt;Cogliser, Claudia C&lt;/author&gt;&lt;author&gt;Brigham, Keith H&lt;/author&gt;&lt;/authors&gt;&lt;/contributors&gt;&lt;titles&gt;&lt;title&gt;Construct validation using computer-aided text analysis (CATA) an illustration using entrepreneurial orientation&lt;/title&gt;&lt;secondary-title&gt;Organizational Research Methods&lt;/secondary-title&gt;&lt;/titles&gt;&lt;periodical&gt;&lt;full-title&gt;Organizational Research Methods&lt;/full-title&gt;&lt;/periodical&gt;&lt;pages&gt;320-347&lt;/pages&gt;&lt;volume&gt;13&lt;/volume&gt;&lt;number&gt;2&lt;/number&gt;&lt;dates&gt;&lt;year&gt;2010&lt;/year&gt;&lt;/dates&gt;&lt;isbn&gt;1094-4281&lt;/isbn&gt;&lt;urls&gt;&lt;/urls&gt;&lt;/record&gt;&lt;/Cite&gt;&lt;/EndNote&gt;</w:instrText>
      </w:r>
      <w:r w:rsidR="0043397F" w:rsidRPr="00EB153A">
        <w:rPr>
          <w:rFonts w:ascii="Times New Roman" w:hAnsi="Times New Roman" w:cs="Times New Roman"/>
          <w:sz w:val="24"/>
          <w:szCs w:val="24"/>
        </w:rPr>
        <w:fldChar w:fldCharType="separate"/>
      </w:r>
      <w:r w:rsidR="0043397F" w:rsidRPr="00EB153A">
        <w:rPr>
          <w:rFonts w:ascii="Times New Roman" w:hAnsi="Times New Roman" w:cs="Times New Roman"/>
          <w:noProof/>
          <w:sz w:val="24"/>
          <w:szCs w:val="24"/>
        </w:rPr>
        <w:t>(Short, Broberg, Cogliser, &amp; Brigham, 2010)</w:t>
      </w:r>
      <w:r w:rsidR="0043397F" w:rsidRPr="00EB153A">
        <w:rPr>
          <w:rFonts w:ascii="Times New Roman" w:hAnsi="Times New Roman" w:cs="Times New Roman"/>
          <w:sz w:val="24"/>
          <w:szCs w:val="24"/>
        </w:rPr>
        <w:fldChar w:fldCharType="end"/>
      </w:r>
      <w:r w:rsidR="0043397F" w:rsidRPr="00EB153A">
        <w:rPr>
          <w:rFonts w:ascii="Times New Roman" w:hAnsi="Times New Roman" w:cs="Times New Roman"/>
          <w:sz w:val="24"/>
          <w:szCs w:val="24"/>
        </w:rPr>
        <w:t>.</w:t>
      </w:r>
    </w:p>
    <w:p w14:paraId="7FECF36E" w14:textId="2C5ECE5F" w:rsidR="00D779FA" w:rsidRPr="00EB153A" w:rsidRDefault="00D779FA" w:rsidP="00D779FA">
      <w:pPr>
        <w:spacing w:after="0" w:line="480" w:lineRule="auto"/>
        <w:ind w:firstLine="720"/>
      </w:pPr>
      <w:r w:rsidRPr="00EB153A">
        <w:rPr>
          <w:rFonts w:ascii="Times New Roman" w:hAnsi="Times New Roman" w:cs="Times New Roman"/>
          <w:sz w:val="24"/>
          <w:szCs w:val="24"/>
        </w:rPr>
        <w:t xml:space="preserve">This moves us into the creation of the word lists that are used to </w:t>
      </w:r>
      <w:r w:rsidR="00A912AC" w:rsidRPr="00EB153A">
        <w:rPr>
          <w:rFonts w:ascii="Times New Roman" w:hAnsi="Times New Roman" w:cs="Times New Roman"/>
          <w:sz w:val="24"/>
          <w:szCs w:val="24"/>
        </w:rPr>
        <w:t>generate</w:t>
      </w:r>
      <w:r w:rsidRPr="00EB153A">
        <w:rPr>
          <w:rFonts w:ascii="Times New Roman" w:hAnsi="Times New Roman" w:cs="Times New Roman"/>
          <w:sz w:val="24"/>
          <w:szCs w:val="24"/>
        </w:rPr>
        <w:t xml:space="preserve"> the scale scores. We recommend that researchers select words from the word frequency lists that are consistent with the construct definition. In the current study, we first began by conducting topic modeling on half of the dataset. Through discussion we practiced selecting words for the word list. We then conducted analyses on the full dataset, established the number of topics, and calculated inter-rater reliability by having two raters independently select words for th</w:t>
      </w:r>
      <w:r w:rsidR="00EB153A" w:rsidRPr="00EB153A">
        <w:rPr>
          <w:rFonts w:ascii="Times New Roman" w:hAnsi="Times New Roman" w:cs="Times New Roman"/>
          <w:sz w:val="24"/>
          <w:szCs w:val="24"/>
        </w:rPr>
        <w:t>e individual relationship term</w:t>
      </w:r>
      <w:r w:rsidRPr="00EB153A">
        <w:rPr>
          <w:rFonts w:ascii="Times New Roman" w:hAnsi="Times New Roman" w:cs="Times New Roman"/>
          <w:sz w:val="24"/>
          <w:szCs w:val="24"/>
        </w:rPr>
        <w:t xml:space="preserve">. Inter-rater reliability can be established for chosen words using Cohen’s </w:t>
      </w:r>
      <w:r w:rsidRPr="00EB153A">
        <w:rPr>
          <w:rFonts w:ascii="Times New Roman" w:hAnsi="Times New Roman" w:cs="Times New Roman"/>
          <w:sz w:val="24"/>
          <w:szCs w:val="24"/>
        </w:rPr>
        <w:lastRenderedPageBreak/>
        <w:t>Kappa which is advantageous over the simple use of percent agreement as it takes into account the potential for agreement to occur by chance</w:t>
      </w:r>
      <w:r w:rsidR="00EB153A" w:rsidRPr="00EB153A">
        <w:t xml:space="preserve"> </w:t>
      </w:r>
      <w:r w:rsidR="00EB153A" w:rsidRPr="00EB153A">
        <w:fldChar w:fldCharType="begin"/>
      </w:r>
      <w:r w:rsidR="00EB153A" w:rsidRPr="00EB153A">
        <w:instrText xml:space="preserve"> ADDIN EN.CITE &lt;EndNote&gt;&lt;Cite&gt;&lt;Author&gt;Cohen&lt;/Author&gt;&lt;Year&gt;1960&lt;/Year&gt;&lt;RecNum&gt;68&lt;/RecNum&gt;&lt;DisplayText&gt;(Cohen, 1960)&lt;/DisplayText&gt;&lt;record&gt;&lt;rec-number&gt;68&lt;/rec-number&gt;&lt;foreign-keys&gt;&lt;key app="EN" db-id="x0zsrez2lewpvbevt9j5zr9sffdpdpvep5fr" timestamp="1492179532"&gt;68&lt;/key&gt;&lt;/foreign-keys&gt;&lt;ref-type name="Journal Article"&gt;17&lt;/ref-type&gt;&lt;contributors&gt;&lt;authors&gt;&lt;author&gt;Cohen, Jacob&lt;/author&gt;&lt;/authors&gt;&lt;/contributors&gt;&lt;titles&gt;&lt;title&gt;A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isbn&gt;0013-1644&lt;/isbn&gt;&lt;urls&gt;&lt;/urls&gt;&lt;/record&gt;&lt;/Cite&gt;&lt;/EndNote&gt;</w:instrText>
      </w:r>
      <w:r w:rsidR="00EB153A" w:rsidRPr="00EB153A">
        <w:fldChar w:fldCharType="separate"/>
      </w:r>
      <w:r w:rsidR="00EB153A" w:rsidRPr="00EB153A">
        <w:rPr>
          <w:noProof/>
        </w:rPr>
        <w:t>(Cohen, 1960)</w:t>
      </w:r>
      <w:r w:rsidR="00EB153A" w:rsidRPr="00EB153A">
        <w:fldChar w:fldCharType="end"/>
      </w:r>
      <w:r w:rsidRPr="00EB153A">
        <w:rPr>
          <w:rFonts w:ascii="Times New Roman" w:hAnsi="Times New Roman" w:cs="Times New Roman"/>
          <w:sz w:val="24"/>
          <w:szCs w:val="24"/>
        </w:rPr>
        <w:t xml:space="preserve">. In the current study, across 100 coding decisions, percent agreement was 89% and Cohen’s Kappa was .78. As a heuristic, Cohen’s Kappa below .40 is considered to be problematic, .40 to .75 is acceptable, and .75 or higher may be interpreted as </w:t>
      </w:r>
      <w:r w:rsidRPr="00A410EE">
        <w:rPr>
          <w:rFonts w:ascii="Times New Roman" w:hAnsi="Times New Roman" w:cs="Times New Roman"/>
          <w:sz w:val="24"/>
          <w:szCs w:val="24"/>
        </w:rPr>
        <w:t>outstanding</w:t>
      </w:r>
      <w:r w:rsidR="00EB153A" w:rsidRPr="00567D74">
        <w:rPr>
          <w:rFonts w:ascii="Times New Roman" w:hAnsi="Times New Roman" w:cs="Times New Roman"/>
          <w:sz w:val="24"/>
          <w:szCs w:val="24"/>
        </w:rPr>
        <w:t xml:space="preserve"> </w:t>
      </w:r>
      <w:r w:rsidR="00EB153A" w:rsidRPr="00567D74">
        <w:rPr>
          <w:rFonts w:ascii="Times New Roman" w:hAnsi="Times New Roman" w:cs="Times New Roman"/>
          <w:sz w:val="24"/>
          <w:szCs w:val="24"/>
        </w:rPr>
        <w:fldChar w:fldCharType="begin"/>
      </w:r>
      <w:r w:rsidR="00EB153A" w:rsidRPr="00567D74">
        <w:rPr>
          <w:rFonts w:ascii="Times New Roman" w:hAnsi="Times New Roman" w:cs="Times New Roman"/>
          <w:sz w:val="24"/>
          <w:szCs w:val="24"/>
        </w:rPr>
        <w:instrText xml:space="preserve"> ADDIN EN.CITE &lt;EndNote&gt;&lt;Cite&gt;&lt;Author&gt;Fleiss&lt;/Author&gt;&lt;Year&gt;1981&lt;/Year&gt;&lt;RecNum&gt;69&lt;/RecNum&gt;&lt;DisplayText&gt;(Fleiss, 1981)&lt;/DisplayText&gt;&lt;record&gt;&lt;rec-number&gt;69&lt;/rec-number&gt;&lt;foreign-keys&gt;&lt;key app="EN" db-id="x0zsrez2lewpvbevt9j5zr9sffdpdpvep5fr" timestamp="1492179670"&gt;69&lt;/key&gt;&lt;/foreign-keys&gt;&lt;ref-type name="Book"&gt;6&lt;/ref-type&gt;&lt;contributors&gt;&lt;authors&gt;&lt;author&gt;Fleiss, J. L.&lt;/author&gt;&lt;/authors&gt;&lt;tertiary-authors&gt;&lt;author&gt;2nd&lt;/author&gt;&lt;/tertiary-authors&gt;&lt;/contributors&gt;&lt;titles&gt;&lt;title&gt;Statistical methods for rates and proportions&lt;/title&gt;&lt;/titles&gt;&lt;dates&gt;&lt;year&gt;1981&lt;/year&gt;&lt;/dates&gt;&lt;pub-location&gt;New York, NY&lt;/pub-location&gt;&lt;publisher&gt;John Wiley&lt;/publisher&gt;&lt;urls&gt;&lt;/urls&gt;&lt;/record&gt;&lt;/Cite&gt;&lt;/EndNote&gt;</w:instrText>
      </w:r>
      <w:r w:rsidR="00EB153A" w:rsidRPr="00567D74">
        <w:rPr>
          <w:rFonts w:ascii="Times New Roman" w:hAnsi="Times New Roman" w:cs="Times New Roman"/>
          <w:sz w:val="24"/>
          <w:szCs w:val="24"/>
        </w:rPr>
        <w:fldChar w:fldCharType="separate"/>
      </w:r>
      <w:r w:rsidR="00EB153A" w:rsidRPr="00567D74">
        <w:rPr>
          <w:rFonts w:ascii="Times New Roman" w:hAnsi="Times New Roman" w:cs="Times New Roman"/>
          <w:noProof/>
          <w:sz w:val="24"/>
          <w:szCs w:val="24"/>
        </w:rPr>
        <w:t>(Fleiss, 1981)</w:t>
      </w:r>
      <w:r w:rsidR="00EB153A" w:rsidRPr="00567D74">
        <w:rPr>
          <w:rFonts w:ascii="Times New Roman" w:hAnsi="Times New Roman" w:cs="Times New Roman"/>
          <w:sz w:val="24"/>
          <w:szCs w:val="24"/>
        </w:rPr>
        <w:fldChar w:fldCharType="end"/>
      </w:r>
      <w:r w:rsidRPr="00A410EE">
        <w:rPr>
          <w:rFonts w:ascii="Times New Roman" w:hAnsi="Times New Roman" w:cs="Times New Roman"/>
          <w:sz w:val="24"/>
          <w:szCs w:val="24"/>
        </w:rPr>
        <w:t>.</w:t>
      </w:r>
      <w:r w:rsidRPr="00EB153A">
        <w:rPr>
          <w:rFonts w:ascii="Times New Roman" w:hAnsi="Times New Roman" w:cs="Times New Roman"/>
          <w:sz w:val="24"/>
          <w:szCs w:val="24"/>
        </w:rPr>
        <w:t xml:space="preserve"> The remaining word lists were also established independently and any discrepancies were resolved through discussion. Next, the word lists should be refined and finalized to ensure they are representat</w:t>
      </w:r>
      <w:r w:rsidR="00EB153A" w:rsidRPr="00EB153A">
        <w:rPr>
          <w:rFonts w:ascii="Times New Roman" w:hAnsi="Times New Roman" w:cs="Times New Roman"/>
          <w:sz w:val="24"/>
          <w:szCs w:val="24"/>
        </w:rPr>
        <w:t>ive of the construct definition</w:t>
      </w:r>
      <w:r w:rsidRPr="00EB153A">
        <w:rPr>
          <w:rFonts w:ascii="Times New Roman" w:hAnsi="Times New Roman" w:cs="Times New Roman"/>
          <w:sz w:val="24"/>
          <w:szCs w:val="24"/>
        </w:rPr>
        <w:t>. In this step, we recommend that researchers ask at least two subject matter experts to independently review the word lists and provide any suggestions which we did in this study.</w:t>
      </w:r>
    </w:p>
    <w:p w14:paraId="4043C6C3" w14:textId="6CC1DEEB" w:rsidR="00D779FA" w:rsidRPr="00EB153A" w:rsidRDefault="00D779FA" w:rsidP="00D779FA">
      <w:pPr>
        <w:spacing w:after="0" w:line="480" w:lineRule="auto"/>
        <w:ind w:firstLine="720"/>
        <w:rPr>
          <w:rFonts w:ascii="Times New Roman" w:hAnsi="Times New Roman" w:cs="Times New Roman"/>
          <w:sz w:val="24"/>
          <w:szCs w:val="24"/>
        </w:rPr>
      </w:pPr>
      <w:r w:rsidRPr="00EB153A">
        <w:rPr>
          <w:rFonts w:ascii="Times New Roman" w:hAnsi="Times New Roman" w:cs="Times New Roman"/>
          <w:sz w:val="24"/>
          <w:szCs w:val="24"/>
        </w:rPr>
        <w:t>In order to calculate the scale score for the open-ended LMX variable (LMX-O), we calculated in DICTION (Wordstat is another user friendly option) the frequency with which these words occurred in each particip</w:t>
      </w:r>
      <w:r w:rsidR="00EB153A" w:rsidRPr="00EB153A">
        <w:rPr>
          <w:rFonts w:ascii="Times New Roman" w:hAnsi="Times New Roman" w:cs="Times New Roman"/>
          <w:sz w:val="24"/>
          <w:szCs w:val="24"/>
        </w:rPr>
        <w:t>ant response (Short et al., 2010)</w:t>
      </w:r>
      <w:r w:rsidRPr="00EB153A">
        <w:rPr>
          <w:rFonts w:ascii="Times New Roman" w:hAnsi="Times New Roman" w:cs="Times New Roman"/>
          <w:sz w:val="24"/>
          <w:szCs w:val="24"/>
        </w:rPr>
        <w:t>. We then divided the word frequency by the total number of words used. As participants also used negative words to describe a lack of a quality relationship with their supervisor (e.g., confused, friction, fault), we also developed a second word list by inductively coding about twenty percent of the open-ended responses. A second score was then developed using the second list and the negative score was then subtracted from the positive score to calculate the final LMX-O score. We conducted analyses in DICTION with un-stemmed and stemmed word list. We found that the conclusions of statistical significance did not change and that the general magnitude of the correlations largely did not change. What we ultimately reported were scales scores derived from the stemmed word list.</w:t>
      </w:r>
    </w:p>
    <w:p w14:paraId="032CEDCD" w14:textId="4D20864D" w:rsidR="00D779FA" w:rsidRPr="00EB153A" w:rsidRDefault="00D779FA" w:rsidP="00D779FA">
      <w:pPr>
        <w:spacing w:after="0" w:line="480" w:lineRule="auto"/>
        <w:ind w:firstLine="720"/>
      </w:pPr>
      <w:r w:rsidRPr="00EB153A">
        <w:rPr>
          <w:rFonts w:ascii="Times New Roman" w:hAnsi="Times New Roman" w:cs="Times New Roman"/>
          <w:sz w:val="24"/>
          <w:szCs w:val="24"/>
        </w:rPr>
        <w:t>There are a few additional steps that researchers can conduct if the study context permits it. First, when possible, researchers co</w:t>
      </w:r>
      <w:r w:rsidR="00EB153A" w:rsidRPr="00EB153A">
        <w:rPr>
          <w:rFonts w:ascii="Times New Roman" w:hAnsi="Times New Roman" w:cs="Times New Roman"/>
          <w:sz w:val="24"/>
          <w:szCs w:val="24"/>
        </w:rPr>
        <w:t xml:space="preserve">uld evaluate external validity </w:t>
      </w:r>
      <w:r w:rsidRPr="00EB153A">
        <w:rPr>
          <w:rFonts w:ascii="Times New Roman" w:hAnsi="Times New Roman" w:cs="Times New Roman"/>
          <w:sz w:val="24"/>
          <w:szCs w:val="24"/>
        </w:rPr>
        <w:t xml:space="preserve">by replicating one’s work </w:t>
      </w:r>
      <w:r w:rsidRPr="00EB153A">
        <w:rPr>
          <w:rFonts w:ascii="Times New Roman" w:hAnsi="Times New Roman" w:cs="Times New Roman"/>
          <w:sz w:val="24"/>
          <w:szCs w:val="24"/>
        </w:rPr>
        <w:lastRenderedPageBreak/>
        <w:t>with an independent sample. While we were not able to do this with the current study, we do recommend that researchers conduct such comparisons when possible. Other steps that have been recommended include considering transient error (via test-retest), specific factor error (using parallel forms), and algorithm error (Kripepndorff’s alpha); for a revi</w:t>
      </w:r>
      <w:r w:rsidR="00EB153A" w:rsidRPr="00EB153A">
        <w:rPr>
          <w:rFonts w:ascii="Times New Roman" w:hAnsi="Times New Roman" w:cs="Times New Roman"/>
          <w:sz w:val="24"/>
          <w:szCs w:val="24"/>
        </w:rPr>
        <w:t xml:space="preserve">ew see McKenny et al. </w:t>
      </w:r>
      <w:r w:rsidR="00EB153A" w:rsidRPr="00EB153A">
        <w:rPr>
          <w:rFonts w:ascii="Times New Roman" w:hAnsi="Times New Roman" w:cs="Times New Roman"/>
          <w:sz w:val="24"/>
          <w:szCs w:val="24"/>
        </w:rPr>
        <w:fldChar w:fldCharType="begin"/>
      </w:r>
      <w:r w:rsidR="00EB153A" w:rsidRPr="00EB153A">
        <w:rPr>
          <w:rFonts w:ascii="Times New Roman" w:hAnsi="Times New Roman" w:cs="Times New Roman"/>
          <w:sz w:val="24"/>
          <w:szCs w:val="24"/>
        </w:rPr>
        <w:instrText xml:space="preserve"> ADDIN EN.CITE &lt;EndNote&gt;&lt;Cite ExcludeAuth="1"&gt;&lt;Author&gt;McKenny&lt;/Author&gt;&lt;Year&gt;2016&lt;/Year&gt;&lt;RecNum&gt;5&lt;/RecNum&gt;&lt;DisplayText&gt;(2016)&lt;/DisplayText&gt;&lt;record&gt;&lt;rec-number&gt;5&lt;/rec-number&gt;&lt;foreign-keys&gt;&lt;key app="EN" db-id="x0zsrez2lewpvbevt9j5zr9sffdpdpvep5fr" timestamp="1476190144"&gt;5&lt;/key&gt;&lt;/foreign-keys&gt;&lt;ref-type name="Journal Article"&gt;17&lt;/ref-type&gt;&lt;contributors&gt;&lt;authors&gt;&lt;author&gt;McKenny, Aaron F&lt;/author&gt;&lt;author&gt;Aguinis, Herman&lt;/author&gt;&lt;author&gt;Short, Jeremy C&lt;/author&gt;&lt;author&gt;Anglin, Aaron H&lt;/author&gt;&lt;/authors&gt;&lt;/contributors&gt;&lt;titles&gt;&lt;title&gt;What Doesn’t Get Measured Does Exist Improving the Accuracy of Computer-Aided Text Analysis&lt;/title&gt;&lt;secondary-title&gt;Journal of Management&lt;/secondary-title&gt;&lt;/titles&gt;&lt;periodical&gt;&lt;full-title&gt;Journal of Management&lt;/full-title&gt;&lt;/periodical&gt;&lt;pages&gt;0149206316657594&lt;/pages&gt;&lt;dates&gt;&lt;year&gt;2016&lt;/year&gt;&lt;/dates&gt;&lt;isbn&gt;0149-2063&lt;/isbn&gt;&lt;urls&gt;&lt;/urls&gt;&lt;/record&gt;&lt;/Cite&gt;&lt;/EndNote&gt;</w:instrText>
      </w:r>
      <w:r w:rsidR="00EB153A" w:rsidRPr="00EB153A">
        <w:rPr>
          <w:rFonts w:ascii="Times New Roman" w:hAnsi="Times New Roman" w:cs="Times New Roman"/>
          <w:sz w:val="24"/>
          <w:szCs w:val="24"/>
        </w:rPr>
        <w:fldChar w:fldCharType="separate"/>
      </w:r>
      <w:r w:rsidR="00EB153A" w:rsidRPr="00EB153A">
        <w:rPr>
          <w:rFonts w:ascii="Times New Roman" w:hAnsi="Times New Roman" w:cs="Times New Roman"/>
          <w:noProof/>
          <w:sz w:val="24"/>
          <w:szCs w:val="24"/>
        </w:rPr>
        <w:t>(2016)</w:t>
      </w:r>
      <w:r w:rsidR="00EB153A" w:rsidRPr="00EB153A">
        <w:rPr>
          <w:rFonts w:ascii="Times New Roman" w:hAnsi="Times New Roman" w:cs="Times New Roman"/>
          <w:sz w:val="24"/>
          <w:szCs w:val="24"/>
        </w:rPr>
        <w:fldChar w:fldCharType="end"/>
      </w:r>
      <w:r w:rsidRPr="00EB153A">
        <w:rPr>
          <w:rFonts w:ascii="Times New Roman" w:hAnsi="Times New Roman" w:cs="Times New Roman"/>
          <w:sz w:val="24"/>
          <w:szCs w:val="24"/>
        </w:rPr>
        <w:t>. It may also be valuable to consider the dimensi</w:t>
      </w:r>
      <w:r w:rsidR="00EB153A" w:rsidRPr="00EB153A">
        <w:rPr>
          <w:rFonts w:ascii="Times New Roman" w:hAnsi="Times New Roman" w:cs="Times New Roman"/>
          <w:sz w:val="24"/>
          <w:szCs w:val="24"/>
        </w:rPr>
        <w:t>onality of the emerging topics</w:t>
      </w:r>
      <w:r w:rsidRPr="00EB153A">
        <w:rPr>
          <w:rFonts w:ascii="Times New Roman" w:hAnsi="Times New Roman" w:cs="Times New Roman"/>
          <w:sz w:val="24"/>
          <w:szCs w:val="24"/>
        </w:rPr>
        <w:t>. One means to do this is by comparing the magnitude of correlations. Small magnitude correlations may be an indication that dimensions are unique; large magnitude correlations could suggest that the dimensions should be simply reduced to an overarching construct. We did not reach this point in the current study because of the large amount of overlapping words across the three dimensions identified due to our focus on only one construct (i.e., LMX).</w:t>
      </w:r>
    </w:p>
    <w:p w14:paraId="6DAB8578" w14:textId="1A99F22C" w:rsidR="00D779FA" w:rsidRPr="00EB153A" w:rsidRDefault="00D779FA" w:rsidP="00D779FA">
      <w:pPr>
        <w:spacing w:after="0" w:line="480" w:lineRule="auto"/>
        <w:ind w:firstLine="720"/>
        <w:rPr>
          <w:rFonts w:ascii="Times New Roman" w:hAnsi="Times New Roman" w:cs="Times New Roman"/>
          <w:sz w:val="24"/>
          <w:szCs w:val="24"/>
        </w:rPr>
      </w:pPr>
      <w:r w:rsidRPr="00EB153A">
        <w:rPr>
          <w:rFonts w:ascii="Times New Roman" w:hAnsi="Times New Roman" w:cs="Times New Roman"/>
          <w:sz w:val="24"/>
          <w:szCs w:val="24"/>
        </w:rPr>
        <w:t xml:space="preserve">Finally, researchers could evaluate the predictive validity variables (i.e., the scale scores). The predictive validity of the variables can be considered using traditional techniques, such as correlation and regression analyses as well as structural equation modeling. Using the scale scores that we developed from the topics, we tested the proposed example hypotheses and provide answers to the research questions. We illustrate the results of the correlation analyses in </w:t>
      </w:r>
    </w:p>
    <w:p w14:paraId="682C4F0B" w14:textId="27B307FB" w:rsidR="00D779FA" w:rsidRPr="00EB153A" w:rsidRDefault="00D779FA" w:rsidP="00D779FA">
      <w:pPr>
        <w:spacing w:after="0" w:line="480" w:lineRule="auto"/>
        <w:jc w:val="center"/>
      </w:pPr>
      <w:r w:rsidRPr="00EB153A">
        <w:rPr>
          <w:rFonts w:ascii="Times New Roman" w:hAnsi="Times New Roman" w:cs="Times New Roman"/>
          <w:sz w:val="24"/>
          <w:szCs w:val="24"/>
        </w:rPr>
        <w:t>[Insert Table 4 about here]</w:t>
      </w:r>
    </w:p>
    <w:p w14:paraId="06E152E9" w14:textId="77777777" w:rsidR="00D779FA" w:rsidRPr="00EB153A" w:rsidRDefault="00D779FA" w:rsidP="00D779FA">
      <w:pPr>
        <w:spacing w:after="0" w:line="480" w:lineRule="auto"/>
        <w:ind w:firstLine="720"/>
        <w:rPr>
          <w:rFonts w:ascii="Times New Roman" w:hAnsi="Times New Roman" w:cs="Times New Roman"/>
          <w:sz w:val="24"/>
          <w:szCs w:val="24"/>
        </w:rPr>
      </w:pPr>
      <w:r w:rsidRPr="00EB153A">
        <w:rPr>
          <w:rFonts w:ascii="Times New Roman" w:hAnsi="Times New Roman" w:cs="Times New Roman"/>
          <w:sz w:val="24"/>
          <w:szCs w:val="24"/>
        </w:rPr>
        <w:t>For Hypothesis 1, we posited that leader vision will positively relate to LMX scores (both closed- (LMX-C) and open-ended responses (LMX-O)). We found support for this hypothesis as vision was positively correlated with both LMX-C and LMX-O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 .62,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&lt; .01 and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=.15,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respectively). For Hypothesis 2, we proposed that LMX-C and LMX-O will positively relate to employee (a) empowerment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 .42,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&lt; .01 and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=.07,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&gt; .05, respectively), (b) perceived organizational support (POS;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 .69,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&lt; .01 and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=.21,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respectively), (c) satisfaction with supervisor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 .74,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&lt; .01 and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=.27,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respectively), and (d) turnover intentions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lastRenderedPageBreak/>
        <w:t xml:space="preserve">= -.59,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&lt; .01 and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xml:space="preserve">= -.20,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respectively). These results illustrate support for Hypothesis 2 with the exception of the POS-LMX-O relation.</w:t>
      </w:r>
    </w:p>
    <w:p w14:paraId="0D365611" w14:textId="77777777" w:rsidR="00D779FA" w:rsidRPr="00EB153A" w:rsidRDefault="00D779FA" w:rsidP="00D779FA">
      <w:pPr>
        <w:spacing w:after="0" w:line="480" w:lineRule="auto"/>
        <w:ind w:firstLine="720"/>
        <w:rPr>
          <w:rFonts w:ascii="Times New Roman" w:hAnsi="Times New Roman" w:cs="Times New Roman"/>
          <w:sz w:val="24"/>
          <w:szCs w:val="24"/>
          <w:highlight w:val="yellow"/>
        </w:rPr>
      </w:pPr>
      <w:r w:rsidRPr="00EB153A">
        <w:rPr>
          <w:rFonts w:ascii="Times New Roman" w:hAnsi="Times New Roman" w:cs="Times New Roman"/>
          <w:sz w:val="24"/>
          <w:szCs w:val="24"/>
        </w:rPr>
        <w:t xml:space="preserve">Next, we suggested several research questions. First, we asked to what extent are followers’ descriptions of LMX in their open-ended responses (LMX-O) contingent upon the leader’s level in the organization? We completed independent samples </w:t>
      </w:r>
      <w:r w:rsidRPr="00EB153A">
        <w:rPr>
          <w:rFonts w:ascii="Times New Roman" w:hAnsi="Times New Roman" w:cs="Times New Roman"/>
          <w:i/>
          <w:sz w:val="24"/>
          <w:szCs w:val="24"/>
        </w:rPr>
        <w:t>t</w:t>
      </w:r>
      <w:r w:rsidRPr="00EB153A">
        <w:rPr>
          <w:rFonts w:ascii="Times New Roman" w:hAnsi="Times New Roman" w:cs="Times New Roman"/>
          <w:sz w:val="24"/>
          <w:szCs w:val="24"/>
        </w:rPr>
        <w:t>-tests to consider the mean difference LMX-O reported by employees with their leaders at the executive-level and leaders at the mid-level manager level. The results illustrated that there was not a statistically significant difference in LMX-O (</w:t>
      </w:r>
      <w:r w:rsidRPr="00EB153A">
        <w:rPr>
          <w:rFonts w:ascii="Times New Roman" w:hAnsi="Times New Roman" w:cs="Times New Roman"/>
          <w:i/>
          <w:sz w:val="24"/>
          <w:szCs w:val="24"/>
        </w:rPr>
        <w:t xml:space="preserve">t </w:t>
      </w:r>
      <w:r w:rsidRPr="00EB153A">
        <w:rPr>
          <w:rFonts w:ascii="Times New Roman" w:hAnsi="Times New Roman" w:cs="Times New Roman"/>
          <w:sz w:val="24"/>
          <w:szCs w:val="24"/>
        </w:rPr>
        <w:t xml:space="preserve">(557) = .40,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&gt; .05). We then asked to what extent does LMX-O depend on country, gender (both leader and follower), and industry? When comparing the LMX-O scores of employees in the U.S. versus abroad, employees abroad tended to have higher LMX-O scores (</w:t>
      </w:r>
      <w:r w:rsidRPr="00EB153A">
        <w:rPr>
          <w:rFonts w:ascii="Times New Roman" w:hAnsi="Times New Roman" w:cs="Times New Roman"/>
          <w:i/>
          <w:sz w:val="24"/>
          <w:szCs w:val="24"/>
        </w:rPr>
        <w:t xml:space="preserve">t </w:t>
      </w:r>
      <w:r w:rsidRPr="00EB153A">
        <w:rPr>
          <w:rFonts w:ascii="Times New Roman" w:hAnsi="Times New Roman" w:cs="Times New Roman"/>
          <w:sz w:val="24"/>
          <w:szCs w:val="24"/>
        </w:rPr>
        <w:t xml:space="preserve">(582) = -3.4,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We compared employees in professional settings relative to those in an industrial/manufacturing setting and did not find significant differences (</w:t>
      </w:r>
      <w:r w:rsidRPr="00EB153A">
        <w:rPr>
          <w:rFonts w:ascii="Times New Roman" w:hAnsi="Times New Roman" w:cs="Times New Roman"/>
          <w:i/>
          <w:sz w:val="24"/>
          <w:szCs w:val="24"/>
        </w:rPr>
        <w:t xml:space="preserve">t </w:t>
      </w:r>
      <w:r w:rsidRPr="00EB153A">
        <w:rPr>
          <w:rFonts w:ascii="Times New Roman" w:hAnsi="Times New Roman" w:cs="Times New Roman"/>
          <w:sz w:val="24"/>
          <w:szCs w:val="24"/>
        </w:rPr>
        <w:t xml:space="preserve">(486) = 1.42,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 xml:space="preserve">&gt; .05). Results of the analysis also demonstrated that there was no mean-difference between LMX-O scores based on either the gender of the follower or gender of the leader. Finally, we asked to what extent do closed-ended LMX scores relate to open-ended LMX scores? Our analyses showed these two measures were correlated at </w:t>
      </w:r>
      <w:r w:rsidRPr="00EB153A">
        <w:rPr>
          <w:rFonts w:ascii="Times New Roman" w:hAnsi="Times New Roman" w:cs="Times New Roman"/>
          <w:i/>
          <w:sz w:val="24"/>
          <w:szCs w:val="24"/>
        </w:rPr>
        <w:t xml:space="preserve">r </w:t>
      </w:r>
      <w:r w:rsidRPr="00EB153A">
        <w:rPr>
          <w:rFonts w:ascii="Times New Roman" w:hAnsi="Times New Roman" w:cs="Times New Roman"/>
          <w:sz w:val="24"/>
          <w:szCs w:val="24"/>
        </w:rPr>
        <w:t>= .25 (</w:t>
      </w:r>
      <w:r w:rsidRPr="00EB153A">
        <w:rPr>
          <w:rFonts w:ascii="Times New Roman" w:hAnsi="Times New Roman" w:cs="Times New Roman"/>
          <w:i/>
          <w:sz w:val="24"/>
          <w:szCs w:val="24"/>
        </w:rPr>
        <w:t xml:space="preserve">p </w:t>
      </w:r>
      <w:r w:rsidRPr="00EB153A">
        <w:rPr>
          <w:rFonts w:ascii="Times New Roman" w:hAnsi="Times New Roman" w:cs="Times New Roman"/>
          <w:sz w:val="24"/>
          <w:szCs w:val="24"/>
        </w:rPr>
        <w:t>&lt; .01). While the results of these hypotheses and research questions may be of minimal interest to leadership scholars, the primary aim of conducting such examinations was to illustrate to readers the potential means through which one might use text in more traditional quantitative analyses.</w:t>
      </w:r>
    </w:p>
    <w:p w14:paraId="78907E19" w14:textId="0424F49E" w:rsidR="00FB20B7" w:rsidRDefault="003D3C2E"/>
    <w:p w14:paraId="18C9136A" w14:textId="74FA7DF4" w:rsidR="006E0169" w:rsidRDefault="006E0169"/>
    <w:p w14:paraId="625E1B63" w14:textId="3A7BA31B" w:rsidR="006E0169" w:rsidRPr="007564A0" w:rsidRDefault="006E0169" w:rsidP="007D291A">
      <w:pPr>
        <w:rPr>
          <w:rFonts w:ascii="Times New Roman" w:hAnsi="Times New Roman" w:cs="Times New Roman"/>
          <w:b/>
          <w:sz w:val="20"/>
          <w:szCs w:val="20"/>
        </w:rPr>
      </w:pPr>
      <w:r>
        <w:rPr>
          <w:rFonts w:ascii="Times New Roman" w:hAnsi="Times New Roman" w:cs="Times New Roman"/>
          <w:b/>
          <w:sz w:val="20"/>
          <w:szCs w:val="20"/>
        </w:rPr>
        <w:br w:type="page"/>
      </w:r>
      <w:r w:rsidRPr="007564A0">
        <w:rPr>
          <w:rFonts w:ascii="Times New Roman" w:hAnsi="Times New Roman" w:cs="Times New Roman"/>
          <w:b/>
          <w:sz w:val="20"/>
          <w:szCs w:val="20"/>
        </w:rPr>
        <w:lastRenderedPageBreak/>
        <w:t>Table 4. Means, standard deviations, and correlations of all variables</w:t>
      </w:r>
    </w:p>
    <w:tbl>
      <w:tblPr>
        <w:tblW w:w="8229" w:type="dxa"/>
        <w:tblInd w:w="93" w:type="dxa"/>
        <w:tblBorders>
          <w:top w:val="single" w:sz="12" w:space="0" w:color="00000A"/>
          <w:bottom w:val="single" w:sz="4" w:space="0" w:color="00000A"/>
          <w:insideH w:val="single" w:sz="4" w:space="0" w:color="00000A"/>
        </w:tblBorders>
        <w:tblLook w:val="04A0" w:firstRow="1" w:lastRow="0" w:firstColumn="1" w:lastColumn="0" w:noHBand="0" w:noVBand="1"/>
      </w:tblPr>
      <w:tblGrid>
        <w:gridCol w:w="1357"/>
        <w:gridCol w:w="711"/>
        <w:gridCol w:w="621"/>
        <w:gridCol w:w="797"/>
        <w:gridCol w:w="818"/>
        <w:gridCol w:w="817"/>
        <w:gridCol w:w="816"/>
        <w:gridCol w:w="817"/>
        <w:gridCol w:w="762"/>
        <w:gridCol w:w="713"/>
      </w:tblGrid>
      <w:tr w:rsidR="006E0169" w:rsidRPr="007564A0" w14:paraId="74B3E258" w14:textId="77777777" w:rsidTr="0053590A">
        <w:trPr>
          <w:trHeight w:val="288"/>
        </w:trPr>
        <w:tc>
          <w:tcPr>
            <w:tcW w:w="1356" w:type="dxa"/>
            <w:tcBorders>
              <w:top w:val="single" w:sz="12" w:space="0" w:color="00000A"/>
              <w:bottom w:val="single" w:sz="4" w:space="0" w:color="00000A"/>
            </w:tcBorders>
            <w:shd w:val="clear" w:color="auto" w:fill="auto"/>
            <w:vAlign w:val="center"/>
          </w:tcPr>
          <w:p w14:paraId="4F4D7F07"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Variable</w:t>
            </w:r>
          </w:p>
        </w:tc>
        <w:tc>
          <w:tcPr>
            <w:tcW w:w="711" w:type="dxa"/>
            <w:tcBorders>
              <w:top w:val="single" w:sz="12" w:space="0" w:color="00000A"/>
              <w:bottom w:val="single" w:sz="4" w:space="0" w:color="00000A"/>
            </w:tcBorders>
            <w:shd w:val="clear" w:color="auto" w:fill="auto"/>
            <w:vAlign w:val="center"/>
          </w:tcPr>
          <w:p w14:paraId="6B0F161E"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Mean</w:t>
            </w:r>
          </w:p>
        </w:tc>
        <w:tc>
          <w:tcPr>
            <w:tcW w:w="621" w:type="dxa"/>
            <w:tcBorders>
              <w:top w:val="single" w:sz="12" w:space="0" w:color="00000A"/>
              <w:bottom w:val="single" w:sz="4" w:space="0" w:color="00000A"/>
            </w:tcBorders>
            <w:shd w:val="clear" w:color="auto" w:fill="auto"/>
            <w:vAlign w:val="center"/>
          </w:tcPr>
          <w:p w14:paraId="3CD0704A"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SD</w:t>
            </w:r>
          </w:p>
        </w:tc>
        <w:tc>
          <w:tcPr>
            <w:tcW w:w="797" w:type="dxa"/>
            <w:tcBorders>
              <w:top w:val="single" w:sz="12" w:space="0" w:color="00000A"/>
              <w:bottom w:val="single" w:sz="4" w:space="0" w:color="00000A"/>
            </w:tcBorders>
            <w:shd w:val="clear" w:color="auto" w:fill="auto"/>
            <w:vAlign w:val="center"/>
          </w:tcPr>
          <w:p w14:paraId="2370963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1</w:t>
            </w:r>
          </w:p>
        </w:tc>
        <w:tc>
          <w:tcPr>
            <w:tcW w:w="818" w:type="dxa"/>
            <w:tcBorders>
              <w:top w:val="single" w:sz="12" w:space="0" w:color="00000A"/>
              <w:bottom w:val="single" w:sz="4" w:space="0" w:color="00000A"/>
            </w:tcBorders>
            <w:shd w:val="clear" w:color="auto" w:fill="auto"/>
            <w:vAlign w:val="center"/>
          </w:tcPr>
          <w:p w14:paraId="31403CF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w:t>
            </w:r>
          </w:p>
        </w:tc>
        <w:tc>
          <w:tcPr>
            <w:tcW w:w="817" w:type="dxa"/>
            <w:tcBorders>
              <w:top w:val="single" w:sz="12" w:space="0" w:color="00000A"/>
              <w:bottom w:val="single" w:sz="4" w:space="0" w:color="00000A"/>
            </w:tcBorders>
            <w:shd w:val="clear" w:color="auto" w:fill="auto"/>
            <w:vAlign w:val="center"/>
          </w:tcPr>
          <w:p w14:paraId="08706A7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3</w:t>
            </w:r>
          </w:p>
        </w:tc>
        <w:tc>
          <w:tcPr>
            <w:tcW w:w="816" w:type="dxa"/>
            <w:tcBorders>
              <w:top w:val="single" w:sz="12" w:space="0" w:color="00000A"/>
              <w:bottom w:val="single" w:sz="4" w:space="0" w:color="00000A"/>
            </w:tcBorders>
            <w:shd w:val="clear" w:color="auto" w:fill="auto"/>
            <w:vAlign w:val="center"/>
          </w:tcPr>
          <w:p w14:paraId="5BB00AD3"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4</w:t>
            </w:r>
          </w:p>
        </w:tc>
        <w:tc>
          <w:tcPr>
            <w:tcW w:w="817" w:type="dxa"/>
            <w:tcBorders>
              <w:top w:val="single" w:sz="12" w:space="0" w:color="00000A"/>
              <w:bottom w:val="single" w:sz="4" w:space="0" w:color="00000A"/>
            </w:tcBorders>
            <w:shd w:val="clear" w:color="auto" w:fill="auto"/>
            <w:vAlign w:val="center"/>
          </w:tcPr>
          <w:p w14:paraId="0B9C2D14"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5</w:t>
            </w:r>
          </w:p>
        </w:tc>
        <w:tc>
          <w:tcPr>
            <w:tcW w:w="762" w:type="dxa"/>
            <w:tcBorders>
              <w:top w:val="single" w:sz="12" w:space="0" w:color="00000A"/>
              <w:bottom w:val="single" w:sz="4" w:space="0" w:color="00000A"/>
            </w:tcBorders>
            <w:shd w:val="clear" w:color="auto" w:fill="auto"/>
            <w:vAlign w:val="center"/>
          </w:tcPr>
          <w:p w14:paraId="017A056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w:t>
            </w:r>
          </w:p>
        </w:tc>
        <w:tc>
          <w:tcPr>
            <w:tcW w:w="713" w:type="dxa"/>
            <w:tcBorders>
              <w:top w:val="single" w:sz="12" w:space="0" w:color="00000A"/>
              <w:bottom w:val="single" w:sz="4" w:space="0" w:color="00000A"/>
            </w:tcBorders>
            <w:shd w:val="clear" w:color="auto" w:fill="auto"/>
            <w:vAlign w:val="center"/>
          </w:tcPr>
          <w:p w14:paraId="412CF4B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7</w:t>
            </w:r>
          </w:p>
        </w:tc>
      </w:tr>
      <w:tr w:rsidR="006E0169" w:rsidRPr="007564A0" w14:paraId="0104A86F" w14:textId="77777777" w:rsidTr="0053590A">
        <w:trPr>
          <w:trHeight w:val="288"/>
        </w:trPr>
        <w:tc>
          <w:tcPr>
            <w:tcW w:w="1356" w:type="dxa"/>
            <w:tcBorders>
              <w:top w:val="single" w:sz="4" w:space="0" w:color="00000A"/>
              <w:bottom w:val="single" w:sz="4" w:space="0" w:color="00000A"/>
            </w:tcBorders>
            <w:shd w:val="clear" w:color="auto" w:fill="auto"/>
            <w:vAlign w:val="center"/>
          </w:tcPr>
          <w:p w14:paraId="33FF508B"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1. Vision</w:t>
            </w:r>
          </w:p>
        </w:tc>
        <w:tc>
          <w:tcPr>
            <w:tcW w:w="711" w:type="dxa"/>
            <w:tcBorders>
              <w:top w:val="single" w:sz="4" w:space="0" w:color="00000A"/>
              <w:bottom w:val="single" w:sz="4" w:space="0" w:color="00000A"/>
            </w:tcBorders>
            <w:shd w:val="clear" w:color="auto" w:fill="auto"/>
            <w:vAlign w:val="center"/>
          </w:tcPr>
          <w:p w14:paraId="64C1A0A9"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3.66</w:t>
            </w:r>
          </w:p>
        </w:tc>
        <w:tc>
          <w:tcPr>
            <w:tcW w:w="621" w:type="dxa"/>
            <w:tcBorders>
              <w:top w:val="single" w:sz="4" w:space="0" w:color="00000A"/>
              <w:bottom w:val="single" w:sz="4" w:space="0" w:color="00000A"/>
            </w:tcBorders>
            <w:shd w:val="clear" w:color="auto" w:fill="auto"/>
            <w:vAlign w:val="center"/>
          </w:tcPr>
          <w:p w14:paraId="733D6E20"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0.95</w:t>
            </w:r>
          </w:p>
        </w:tc>
        <w:tc>
          <w:tcPr>
            <w:tcW w:w="797" w:type="dxa"/>
            <w:tcBorders>
              <w:top w:val="single" w:sz="4" w:space="0" w:color="00000A"/>
              <w:bottom w:val="single" w:sz="4" w:space="0" w:color="00000A"/>
            </w:tcBorders>
            <w:shd w:val="clear" w:color="auto" w:fill="auto"/>
            <w:vAlign w:val="center"/>
          </w:tcPr>
          <w:p w14:paraId="16B6AFB3"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.91</w:t>
            </w:r>
          </w:p>
        </w:tc>
        <w:tc>
          <w:tcPr>
            <w:tcW w:w="818" w:type="dxa"/>
            <w:tcBorders>
              <w:top w:val="single" w:sz="4" w:space="0" w:color="00000A"/>
              <w:bottom w:val="single" w:sz="4" w:space="0" w:color="00000A"/>
            </w:tcBorders>
            <w:shd w:val="clear" w:color="auto" w:fill="auto"/>
            <w:vAlign w:val="center"/>
          </w:tcPr>
          <w:p w14:paraId="797F130E"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7" w:type="dxa"/>
            <w:tcBorders>
              <w:top w:val="single" w:sz="4" w:space="0" w:color="00000A"/>
              <w:bottom w:val="single" w:sz="4" w:space="0" w:color="00000A"/>
            </w:tcBorders>
            <w:shd w:val="clear" w:color="auto" w:fill="auto"/>
            <w:vAlign w:val="center"/>
          </w:tcPr>
          <w:p w14:paraId="1B0B06A9"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6" w:type="dxa"/>
            <w:tcBorders>
              <w:top w:val="single" w:sz="4" w:space="0" w:color="00000A"/>
              <w:bottom w:val="single" w:sz="4" w:space="0" w:color="00000A"/>
            </w:tcBorders>
            <w:shd w:val="clear" w:color="auto" w:fill="auto"/>
            <w:vAlign w:val="center"/>
          </w:tcPr>
          <w:p w14:paraId="110B3D91"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7" w:type="dxa"/>
            <w:tcBorders>
              <w:top w:val="single" w:sz="4" w:space="0" w:color="00000A"/>
              <w:bottom w:val="single" w:sz="4" w:space="0" w:color="00000A"/>
            </w:tcBorders>
            <w:shd w:val="clear" w:color="auto" w:fill="auto"/>
            <w:vAlign w:val="center"/>
          </w:tcPr>
          <w:p w14:paraId="774591AE"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62" w:type="dxa"/>
            <w:tcBorders>
              <w:top w:val="single" w:sz="4" w:space="0" w:color="00000A"/>
              <w:bottom w:val="single" w:sz="4" w:space="0" w:color="00000A"/>
            </w:tcBorders>
            <w:shd w:val="clear" w:color="auto" w:fill="auto"/>
            <w:vAlign w:val="center"/>
          </w:tcPr>
          <w:p w14:paraId="42F2AE48"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13" w:type="dxa"/>
            <w:tcBorders>
              <w:top w:val="single" w:sz="4" w:space="0" w:color="00000A"/>
              <w:bottom w:val="single" w:sz="4" w:space="0" w:color="00000A"/>
            </w:tcBorders>
            <w:shd w:val="clear" w:color="auto" w:fill="auto"/>
            <w:vAlign w:val="center"/>
          </w:tcPr>
          <w:p w14:paraId="7314D38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18F95010" w14:textId="77777777" w:rsidTr="0053590A">
        <w:trPr>
          <w:trHeight w:val="288"/>
        </w:trPr>
        <w:tc>
          <w:tcPr>
            <w:tcW w:w="1356" w:type="dxa"/>
            <w:tcBorders>
              <w:top w:val="single" w:sz="4" w:space="0" w:color="00000A"/>
              <w:bottom w:val="single" w:sz="4" w:space="0" w:color="00000A"/>
            </w:tcBorders>
            <w:shd w:val="clear" w:color="auto" w:fill="auto"/>
            <w:vAlign w:val="center"/>
          </w:tcPr>
          <w:p w14:paraId="2ABE667E"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2. POS</w:t>
            </w:r>
          </w:p>
        </w:tc>
        <w:tc>
          <w:tcPr>
            <w:tcW w:w="711" w:type="dxa"/>
            <w:tcBorders>
              <w:top w:val="single" w:sz="4" w:space="0" w:color="00000A"/>
              <w:bottom w:val="single" w:sz="4" w:space="0" w:color="00000A"/>
            </w:tcBorders>
            <w:shd w:val="clear" w:color="auto" w:fill="auto"/>
            <w:vAlign w:val="center"/>
          </w:tcPr>
          <w:p w14:paraId="656EC424"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4.88</w:t>
            </w:r>
          </w:p>
        </w:tc>
        <w:tc>
          <w:tcPr>
            <w:tcW w:w="621" w:type="dxa"/>
            <w:tcBorders>
              <w:top w:val="single" w:sz="4" w:space="0" w:color="00000A"/>
              <w:bottom w:val="single" w:sz="4" w:space="0" w:color="00000A"/>
            </w:tcBorders>
            <w:shd w:val="clear" w:color="auto" w:fill="auto"/>
            <w:vAlign w:val="center"/>
          </w:tcPr>
          <w:p w14:paraId="656792A6"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1.27</w:t>
            </w:r>
          </w:p>
        </w:tc>
        <w:tc>
          <w:tcPr>
            <w:tcW w:w="797" w:type="dxa"/>
            <w:tcBorders>
              <w:top w:val="single" w:sz="4" w:space="0" w:color="00000A"/>
              <w:bottom w:val="single" w:sz="4" w:space="0" w:color="00000A"/>
            </w:tcBorders>
            <w:shd w:val="clear" w:color="auto" w:fill="auto"/>
            <w:vAlign w:val="center"/>
          </w:tcPr>
          <w:p w14:paraId="5171CC4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.62**</w:t>
            </w:r>
          </w:p>
        </w:tc>
        <w:tc>
          <w:tcPr>
            <w:tcW w:w="818" w:type="dxa"/>
            <w:tcBorders>
              <w:top w:val="single" w:sz="4" w:space="0" w:color="00000A"/>
              <w:bottom w:val="single" w:sz="4" w:space="0" w:color="00000A"/>
            </w:tcBorders>
            <w:shd w:val="clear" w:color="auto" w:fill="auto"/>
            <w:vAlign w:val="center"/>
          </w:tcPr>
          <w:p w14:paraId="15B7E305"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.90</w:t>
            </w:r>
          </w:p>
        </w:tc>
        <w:tc>
          <w:tcPr>
            <w:tcW w:w="817" w:type="dxa"/>
            <w:tcBorders>
              <w:top w:val="single" w:sz="4" w:space="0" w:color="00000A"/>
              <w:bottom w:val="single" w:sz="4" w:space="0" w:color="00000A"/>
            </w:tcBorders>
            <w:shd w:val="clear" w:color="auto" w:fill="auto"/>
            <w:vAlign w:val="center"/>
          </w:tcPr>
          <w:p w14:paraId="4A8CF502"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6" w:type="dxa"/>
            <w:tcBorders>
              <w:top w:val="single" w:sz="4" w:space="0" w:color="00000A"/>
              <w:bottom w:val="single" w:sz="4" w:space="0" w:color="00000A"/>
            </w:tcBorders>
            <w:shd w:val="clear" w:color="auto" w:fill="auto"/>
            <w:vAlign w:val="center"/>
          </w:tcPr>
          <w:p w14:paraId="1CA01E6D"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7" w:type="dxa"/>
            <w:tcBorders>
              <w:top w:val="single" w:sz="4" w:space="0" w:color="00000A"/>
              <w:bottom w:val="single" w:sz="4" w:space="0" w:color="00000A"/>
            </w:tcBorders>
            <w:shd w:val="clear" w:color="auto" w:fill="auto"/>
            <w:vAlign w:val="center"/>
          </w:tcPr>
          <w:p w14:paraId="45BC072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62" w:type="dxa"/>
            <w:tcBorders>
              <w:top w:val="single" w:sz="4" w:space="0" w:color="00000A"/>
              <w:bottom w:val="single" w:sz="4" w:space="0" w:color="00000A"/>
            </w:tcBorders>
            <w:shd w:val="clear" w:color="auto" w:fill="auto"/>
            <w:vAlign w:val="center"/>
          </w:tcPr>
          <w:p w14:paraId="596A340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13" w:type="dxa"/>
            <w:tcBorders>
              <w:top w:val="single" w:sz="4" w:space="0" w:color="00000A"/>
              <w:bottom w:val="single" w:sz="4" w:space="0" w:color="00000A"/>
            </w:tcBorders>
            <w:shd w:val="clear" w:color="auto" w:fill="auto"/>
            <w:vAlign w:val="center"/>
          </w:tcPr>
          <w:p w14:paraId="5A5C10B2"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60CB05B5" w14:textId="77777777" w:rsidTr="0053590A">
        <w:trPr>
          <w:trHeight w:val="288"/>
        </w:trPr>
        <w:tc>
          <w:tcPr>
            <w:tcW w:w="1356" w:type="dxa"/>
            <w:tcBorders>
              <w:top w:val="single" w:sz="4" w:space="0" w:color="00000A"/>
              <w:bottom w:val="single" w:sz="4" w:space="0" w:color="00000A"/>
            </w:tcBorders>
            <w:shd w:val="clear" w:color="auto" w:fill="auto"/>
            <w:vAlign w:val="center"/>
          </w:tcPr>
          <w:p w14:paraId="2F812FA9"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3. LMX-C</w:t>
            </w:r>
          </w:p>
        </w:tc>
        <w:tc>
          <w:tcPr>
            <w:tcW w:w="711" w:type="dxa"/>
            <w:tcBorders>
              <w:top w:val="single" w:sz="4" w:space="0" w:color="00000A"/>
              <w:bottom w:val="single" w:sz="4" w:space="0" w:color="00000A"/>
            </w:tcBorders>
            <w:shd w:val="clear" w:color="auto" w:fill="auto"/>
            <w:vAlign w:val="center"/>
          </w:tcPr>
          <w:p w14:paraId="0A0E2291"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4.80</w:t>
            </w:r>
          </w:p>
        </w:tc>
        <w:tc>
          <w:tcPr>
            <w:tcW w:w="621" w:type="dxa"/>
            <w:tcBorders>
              <w:top w:val="single" w:sz="4" w:space="0" w:color="00000A"/>
              <w:bottom w:val="single" w:sz="4" w:space="0" w:color="00000A"/>
            </w:tcBorders>
            <w:shd w:val="clear" w:color="auto" w:fill="auto"/>
            <w:vAlign w:val="center"/>
          </w:tcPr>
          <w:p w14:paraId="5B50C2AE"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1.36</w:t>
            </w:r>
          </w:p>
        </w:tc>
        <w:tc>
          <w:tcPr>
            <w:tcW w:w="797" w:type="dxa"/>
            <w:tcBorders>
              <w:top w:val="single" w:sz="4" w:space="0" w:color="00000A"/>
              <w:bottom w:val="single" w:sz="4" w:space="0" w:color="00000A"/>
            </w:tcBorders>
            <w:shd w:val="clear" w:color="auto" w:fill="auto"/>
            <w:vAlign w:val="center"/>
          </w:tcPr>
          <w:p w14:paraId="44497B48"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.54**</w:t>
            </w:r>
          </w:p>
        </w:tc>
        <w:tc>
          <w:tcPr>
            <w:tcW w:w="818" w:type="dxa"/>
            <w:tcBorders>
              <w:top w:val="single" w:sz="4" w:space="0" w:color="00000A"/>
              <w:bottom w:val="single" w:sz="4" w:space="0" w:color="00000A"/>
            </w:tcBorders>
            <w:shd w:val="clear" w:color="auto" w:fill="auto"/>
            <w:vAlign w:val="center"/>
          </w:tcPr>
          <w:p w14:paraId="520B4C7A"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.69**</w:t>
            </w:r>
          </w:p>
        </w:tc>
        <w:tc>
          <w:tcPr>
            <w:tcW w:w="817" w:type="dxa"/>
            <w:tcBorders>
              <w:top w:val="single" w:sz="4" w:space="0" w:color="00000A"/>
              <w:bottom w:val="single" w:sz="4" w:space="0" w:color="00000A"/>
            </w:tcBorders>
            <w:shd w:val="clear" w:color="auto" w:fill="auto"/>
            <w:vAlign w:val="center"/>
          </w:tcPr>
          <w:p w14:paraId="1681BD9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.96</w:t>
            </w:r>
          </w:p>
        </w:tc>
        <w:tc>
          <w:tcPr>
            <w:tcW w:w="816" w:type="dxa"/>
            <w:tcBorders>
              <w:top w:val="single" w:sz="4" w:space="0" w:color="00000A"/>
              <w:bottom w:val="single" w:sz="4" w:space="0" w:color="00000A"/>
            </w:tcBorders>
            <w:shd w:val="clear" w:color="auto" w:fill="auto"/>
            <w:vAlign w:val="center"/>
          </w:tcPr>
          <w:p w14:paraId="0A51FD9B"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817" w:type="dxa"/>
            <w:tcBorders>
              <w:top w:val="single" w:sz="4" w:space="0" w:color="00000A"/>
              <w:bottom w:val="single" w:sz="4" w:space="0" w:color="00000A"/>
            </w:tcBorders>
            <w:shd w:val="clear" w:color="auto" w:fill="auto"/>
            <w:vAlign w:val="center"/>
          </w:tcPr>
          <w:p w14:paraId="067AD0F2"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62" w:type="dxa"/>
            <w:tcBorders>
              <w:top w:val="single" w:sz="4" w:space="0" w:color="00000A"/>
              <w:bottom w:val="single" w:sz="4" w:space="0" w:color="00000A"/>
            </w:tcBorders>
            <w:shd w:val="clear" w:color="auto" w:fill="auto"/>
            <w:vAlign w:val="center"/>
          </w:tcPr>
          <w:p w14:paraId="30AE78C8"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13" w:type="dxa"/>
            <w:tcBorders>
              <w:top w:val="single" w:sz="4" w:space="0" w:color="00000A"/>
              <w:bottom w:val="single" w:sz="4" w:space="0" w:color="00000A"/>
            </w:tcBorders>
            <w:shd w:val="clear" w:color="auto" w:fill="auto"/>
            <w:vAlign w:val="center"/>
          </w:tcPr>
          <w:p w14:paraId="305C5238"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462A8B21" w14:textId="77777777" w:rsidTr="0053590A">
        <w:trPr>
          <w:trHeight w:val="288"/>
        </w:trPr>
        <w:tc>
          <w:tcPr>
            <w:tcW w:w="1356" w:type="dxa"/>
            <w:tcBorders>
              <w:top w:val="single" w:sz="4" w:space="0" w:color="00000A"/>
              <w:bottom w:val="single" w:sz="4" w:space="0" w:color="00000A"/>
            </w:tcBorders>
            <w:shd w:val="clear" w:color="auto" w:fill="auto"/>
            <w:vAlign w:val="center"/>
          </w:tcPr>
          <w:p w14:paraId="67A6E903"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4. LMX-O</w:t>
            </w:r>
          </w:p>
        </w:tc>
        <w:tc>
          <w:tcPr>
            <w:tcW w:w="711" w:type="dxa"/>
            <w:tcBorders>
              <w:top w:val="single" w:sz="4" w:space="0" w:color="00000A"/>
              <w:bottom w:val="single" w:sz="4" w:space="0" w:color="00000A"/>
            </w:tcBorders>
            <w:shd w:val="clear" w:color="auto" w:fill="auto"/>
            <w:vAlign w:val="center"/>
          </w:tcPr>
          <w:p w14:paraId="09460663"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lang w:eastAsia="ko-KR"/>
              </w:rPr>
              <w:t>.02</w:t>
            </w:r>
          </w:p>
        </w:tc>
        <w:tc>
          <w:tcPr>
            <w:tcW w:w="621" w:type="dxa"/>
            <w:tcBorders>
              <w:top w:val="single" w:sz="4" w:space="0" w:color="00000A"/>
              <w:bottom w:val="single" w:sz="4" w:space="0" w:color="00000A"/>
            </w:tcBorders>
            <w:shd w:val="clear" w:color="auto" w:fill="auto"/>
            <w:vAlign w:val="center"/>
          </w:tcPr>
          <w:p w14:paraId="5E6FC5D3"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lang w:eastAsia="ko-KR"/>
              </w:rPr>
              <w:t>0.14</w:t>
            </w:r>
          </w:p>
        </w:tc>
        <w:tc>
          <w:tcPr>
            <w:tcW w:w="797" w:type="dxa"/>
            <w:tcBorders>
              <w:top w:val="single" w:sz="4" w:space="0" w:color="00000A"/>
              <w:bottom w:val="single" w:sz="4" w:space="0" w:color="00000A"/>
            </w:tcBorders>
            <w:shd w:val="clear" w:color="auto" w:fill="auto"/>
            <w:vAlign w:val="center"/>
          </w:tcPr>
          <w:p w14:paraId="010522E5"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.15**</w:t>
            </w:r>
          </w:p>
        </w:tc>
        <w:tc>
          <w:tcPr>
            <w:tcW w:w="818" w:type="dxa"/>
            <w:tcBorders>
              <w:top w:val="single" w:sz="4" w:space="0" w:color="00000A"/>
              <w:bottom w:val="single" w:sz="4" w:space="0" w:color="00000A"/>
            </w:tcBorders>
            <w:shd w:val="clear" w:color="auto" w:fill="auto"/>
            <w:vAlign w:val="center"/>
          </w:tcPr>
          <w:p w14:paraId="3D186C9B"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.21**</w:t>
            </w:r>
          </w:p>
        </w:tc>
        <w:tc>
          <w:tcPr>
            <w:tcW w:w="817" w:type="dxa"/>
            <w:tcBorders>
              <w:top w:val="single" w:sz="4" w:space="0" w:color="00000A"/>
              <w:bottom w:val="single" w:sz="4" w:space="0" w:color="00000A"/>
            </w:tcBorders>
            <w:shd w:val="clear" w:color="auto" w:fill="auto"/>
            <w:vAlign w:val="center"/>
          </w:tcPr>
          <w:p w14:paraId="6D0B3FBD"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.25**</w:t>
            </w:r>
          </w:p>
        </w:tc>
        <w:tc>
          <w:tcPr>
            <w:tcW w:w="816" w:type="dxa"/>
            <w:tcBorders>
              <w:top w:val="single" w:sz="4" w:space="0" w:color="00000A"/>
              <w:bottom w:val="single" w:sz="4" w:space="0" w:color="00000A"/>
            </w:tcBorders>
            <w:shd w:val="clear" w:color="auto" w:fill="auto"/>
            <w:vAlign w:val="center"/>
          </w:tcPr>
          <w:p w14:paraId="63991B43"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w:t>
            </w:r>
          </w:p>
        </w:tc>
        <w:tc>
          <w:tcPr>
            <w:tcW w:w="817" w:type="dxa"/>
            <w:tcBorders>
              <w:top w:val="single" w:sz="4" w:space="0" w:color="00000A"/>
              <w:bottom w:val="single" w:sz="4" w:space="0" w:color="00000A"/>
            </w:tcBorders>
            <w:shd w:val="clear" w:color="auto" w:fill="auto"/>
            <w:vAlign w:val="center"/>
          </w:tcPr>
          <w:p w14:paraId="03B7BED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62" w:type="dxa"/>
            <w:tcBorders>
              <w:top w:val="single" w:sz="4" w:space="0" w:color="00000A"/>
              <w:bottom w:val="single" w:sz="4" w:space="0" w:color="00000A"/>
            </w:tcBorders>
            <w:shd w:val="clear" w:color="auto" w:fill="auto"/>
            <w:vAlign w:val="center"/>
          </w:tcPr>
          <w:p w14:paraId="3B222935"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13" w:type="dxa"/>
            <w:tcBorders>
              <w:top w:val="single" w:sz="4" w:space="0" w:color="00000A"/>
              <w:bottom w:val="single" w:sz="4" w:space="0" w:color="00000A"/>
            </w:tcBorders>
            <w:shd w:val="clear" w:color="auto" w:fill="auto"/>
            <w:vAlign w:val="center"/>
          </w:tcPr>
          <w:p w14:paraId="2893B8F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446A8783" w14:textId="77777777" w:rsidTr="0053590A">
        <w:trPr>
          <w:trHeight w:val="288"/>
        </w:trPr>
        <w:tc>
          <w:tcPr>
            <w:tcW w:w="1356" w:type="dxa"/>
            <w:tcBorders>
              <w:top w:val="single" w:sz="4" w:space="0" w:color="00000A"/>
              <w:bottom w:val="single" w:sz="4" w:space="0" w:color="00000A"/>
            </w:tcBorders>
            <w:shd w:val="clear" w:color="auto" w:fill="auto"/>
            <w:vAlign w:val="center"/>
          </w:tcPr>
          <w:p w14:paraId="692856D0"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5. EM</w:t>
            </w:r>
          </w:p>
        </w:tc>
        <w:tc>
          <w:tcPr>
            <w:tcW w:w="711" w:type="dxa"/>
            <w:tcBorders>
              <w:top w:val="single" w:sz="4" w:space="0" w:color="00000A"/>
              <w:bottom w:val="single" w:sz="4" w:space="0" w:color="00000A"/>
            </w:tcBorders>
            <w:shd w:val="clear" w:color="auto" w:fill="auto"/>
            <w:vAlign w:val="center"/>
          </w:tcPr>
          <w:p w14:paraId="4B9763FF"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4.05</w:t>
            </w:r>
          </w:p>
        </w:tc>
        <w:tc>
          <w:tcPr>
            <w:tcW w:w="621" w:type="dxa"/>
            <w:tcBorders>
              <w:top w:val="single" w:sz="4" w:space="0" w:color="00000A"/>
              <w:bottom w:val="single" w:sz="4" w:space="0" w:color="00000A"/>
            </w:tcBorders>
            <w:shd w:val="clear" w:color="auto" w:fill="auto"/>
            <w:vAlign w:val="center"/>
          </w:tcPr>
          <w:p w14:paraId="09E3FFD6"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0.96</w:t>
            </w:r>
          </w:p>
        </w:tc>
        <w:tc>
          <w:tcPr>
            <w:tcW w:w="797" w:type="dxa"/>
            <w:tcBorders>
              <w:top w:val="single" w:sz="4" w:space="0" w:color="00000A"/>
              <w:bottom w:val="single" w:sz="4" w:space="0" w:color="00000A"/>
            </w:tcBorders>
            <w:shd w:val="clear" w:color="auto" w:fill="auto"/>
            <w:vAlign w:val="center"/>
          </w:tcPr>
          <w:p w14:paraId="0ADA723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.22**</w:t>
            </w:r>
          </w:p>
        </w:tc>
        <w:tc>
          <w:tcPr>
            <w:tcW w:w="818" w:type="dxa"/>
            <w:tcBorders>
              <w:top w:val="single" w:sz="4" w:space="0" w:color="00000A"/>
              <w:bottom w:val="single" w:sz="4" w:space="0" w:color="00000A"/>
            </w:tcBorders>
            <w:shd w:val="clear" w:color="auto" w:fill="auto"/>
            <w:vAlign w:val="center"/>
          </w:tcPr>
          <w:p w14:paraId="795B4CD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.41**</w:t>
            </w:r>
          </w:p>
        </w:tc>
        <w:tc>
          <w:tcPr>
            <w:tcW w:w="817" w:type="dxa"/>
            <w:tcBorders>
              <w:top w:val="single" w:sz="4" w:space="0" w:color="00000A"/>
              <w:bottom w:val="single" w:sz="4" w:space="0" w:color="00000A"/>
            </w:tcBorders>
            <w:shd w:val="clear" w:color="auto" w:fill="auto"/>
            <w:vAlign w:val="center"/>
          </w:tcPr>
          <w:p w14:paraId="3E9EBC4D"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.42**</w:t>
            </w:r>
          </w:p>
        </w:tc>
        <w:tc>
          <w:tcPr>
            <w:tcW w:w="816" w:type="dxa"/>
            <w:tcBorders>
              <w:top w:val="single" w:sz="4" w:space="0" w:color="00000A"/>
              <w:bottom w:val="single" w:sz="4" w:space="0" w:color="00000A"/>
            </w:tcBorders>
            <w:shd w:val="clear" w:color="auto" w:fill="auto"/>
            <w:vAlign w:val="center"/>
          </w:tcPr>
          <w:p w14:paraId="6AAAAFC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.07</w:t>
            </w:r>
          </w:p>
        </w:tc>
        <w:tc>
          <w:tcPr>
            <w:tcW w:w="817" w:type="dxa"/>
            <w:tcBorders>
              <w:top w:val="single" w:sz="4" w:space="0" w:color="00000A"/>
              <w:bottom w:val="single" w:sz="4" w:space="0" w:color="00000A"/>
            </w:tcBorders>
            <w:shd w:val="clear" w:color="auto" w:fill="auto"/>
            <w:vAlign w:val="center"/>
          </w:tcPr>
          <w:p w14:paraId="3127903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.91</w:t>
            </w:r>
          </w:p>
        </w:tc>
        <w:tc>
          <w:tcPr>
            <w:tcW w:w="762" w:type="dxa"/>
            <w:tcBorders>
              <w:top w:val="single" w:sz="4" w:space="0" w:color="00000A"/>
              <w:bottom w:val="single" w:sz="4" w:space="0" w:color="00000A"/>
            </w:tcBorders>
            <w:shd w:val="clear" w:color="auto" w:fill="auto"/>
            <w:vAlign w:val="center"/>
          </w:tcPr>
          <w:p w14:paraId="55D5272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c>
          <w:tcPr>
            <w:tcW w:w="713" w:type="dxa"/>
            <w:tcBorders>
              <w:top w:val="single" w:sz="4" w:space="0" w:color="00000A"/>
              <w:bottom w:val="single" w:sz="4" w:space="0" w:color="00000A"/>
            </w:tcBorders>
            <w:shd w:val="clear" w:color="auto" w:fill="auto"/>
            <w:vAlign w:val="center"/>
          </w:tcPr>
          <w:p w14:paraId="6D4D2AA9"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14CE2F08" w14:textId="77777777" w:rsidTr="0053590A">
        <w:trPr>
          <w:trHeight w:val="288"/>
        </w:trPr>
        <w:tc>
          <w:tcPr>
            <w:tcW w:w="1356" w:type="dxa"/>
            <w:tcBorders>
              <w:top w:val="single" w:sz="4" w:space="0" w:color="00000A"/>
              <w:bottom w:val="single" w:sz="4" w:space="0" w:color="00000A"/>
            </w:tcBorders>
            <w:shd w:val="clear" w:color="auto" w:fill="auto"/>
            <w:vAlign w:val="center"/>
          </w:tcPr>
          <w:p w14:paraId="45DD78A4"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6. SS</w:t>
            </w:r>
          </w:p>
        </w:tc>
        <w:tc>
          <w:tcPr>
            <w:tcW w:w="711" w:type="dxa"/>
            <w:tcBorders>
              <w:top w:val="single" w:sz="4" w:space="0" w:color="00000A"/>
              <w:bottom w:val="single" w:sz="4" w:space="0" w:color="00000A"/>
            </w:tcBorders>
            <w:shd w:val="clear" w:color="auto" w:fill="auto"/>
            <w:vAlign w:val="center"/>
          </w:tcPr>
          <w:p w14:paraId="5C6A136D"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4.00</w:t>
            </w:r>
          </w:p>
        </w:tc>
        <w:tc>
          <w:tcPr>
            <w:tcW w:w="621" w:type="dxa"/>
            <w:tcBorders>
              <w:top w:val="single" w:sz="4" w:space="0" w:color="00000A"/>
              <w:bottom w:val="single" w:sz="4" w:space="0" w:color="00000A"/>
            </w:tcBorders>
            <w:shd w:val="clear" w:color="auto" w:fill="auto"/>
            <w:vAlign w:val="center"/>
          </w:tcPr>
          <w:p w14:paraId="6C78335B"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1.18</w:t>
            </w:r>
          </w:p>
        </w:tc>
        <w:tc>
          <w:tcPr>
            <w:tcW w:w="797" w:type="dxa"/>
            <w:tcBorders>
              <w:top w:val="single" w:sz="4" w:space="0" w:color="00000A"/>
              <w:bottom w:val="single" w:sz="4" w:space="0" w:color="00000A"/>
            </w:tcBorders>
            <w:shd w:val="clear" w:color="auto" w:fill="auto"/>
            <w:vAlign w:val="center"/>
          </w:tcPr>
          <w:p w14:paraId="5A572670"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.51**</w:t>
            </w:r>
          </w:p>
        </w:tc>
        <w:tc>
          <w:tcPr>
            <w:tcW w:w="818" w:type="dxa"/>
            <w:tcBorders>
              <w:top w:val="single" w:sz="4" w:space="0" w:color="00000A"/>
              <w:bottom w:val="single" w:sz="4" w:space="0" w:color="00000A"/>
            </w:tcBorders>
            <w:shd w:val="clear" w:color="auto" w:fill="auto"/>
            <w:vAlign w:val="center"/>
          </w:tcPr>
          <w:p w14:paraId="5C6A849B"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.62**</w:t>
            </w:r>
          </w:p>
        </w:tc>
        <w:tc>
          <w:tcPr>
            <w:tcW w:w="817" w:type="dxa"/>
            <w:tcBorders>
              <w:top w:val="single" w:sz="4" w:space="0" w:color="00000A"/>
              <w:bottom w:val="single" w:sz="4" w:space="0" w:color="00000A"/>
            </w:tcBorders>
            <w:shd w:val="clear" w:color="auto" w:fill="auto"/>
            <w:vAlign w:val="center"/>
          </w:tcPr>
          <w:p w14:paraId="7D6E1A0D"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.74**</w:t>
            </w:r>
          </w:p>
        </w:tc>
        <w:tc>
          <w:tcPr>
            <w:tcW w:w="816" w:type="dxa"/>
            <w:tcBorders>
              <w:top w:val="single" w:sz="4" w:space="0" w:color="00000A"/>
              <w:bottom w:val="single" w:sz="4" w:space="0" w:color="00000A"/>
            </w:tcBorders>
            <w:shd w:val="clear" w:color="auto" w:fill="auto"/>
            <w:vAlign w:val="center"/>
          </w:tcPr>
          <w:p w14:paraId="03EA6C92"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.27**</w:t>
            </w:r>
          </w:p>
        </w:tc>
        <w:tc>
          <w:tcPr>
            <w:tcW w:w="817" w:type="dxa"/>
            <w:tcBorders>
              <w:top w:val="single" w:sz="4" w:space="0" w:color="00000A"/>
              <w:bottom w:val="single" w:sz="4" w:space="0" w:color="00000A"/>
            </w:tcBorders>
            <w:shd w:val="clear" w:color="auto" w:fill="auto"/>
            <w:vAlign w:val="center"/>
          </w:tcPr>
          <w:p w14:paraId="5353DCA7"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.46**</w:t>
            </w:r>
          </w:p>
        </w:tc>
        <w:tc>
          <w:tcPr>
            <w:tcW w:w="762" w:type="dxa"/>
            <w:tcBorders>
              <w:top w:val="single" w:sz="4" w:space="0" w:color="00000A"/>
              <w:bottom w:val="single" w:sz="4" w:space="0" w:color="00000A"/>
            </w:tcBorders>
            <w:shd w:val="clear" w:color="auto" w:fill="auto"/>
            <w:vAlign w:val="center"/>
          </w:tcPr>
          <w:p w14:paraId="5344D4A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.92</w:t>
            </w:r>
          </w:p>
        </w:tc>
        <w:tc>
          <w:tcPr>
            <w:tcW w:w="713" w:type="dxa"/>
            <w:tcBorders>
              <w:top w:val="single" w:sz="4" w:space="0" w:color="00000A"/>
              <w:bottom w:val="single" w:sz="4" w:space="0" w:color="00000A"/>
            </w:tcBorders>
            <w:shd w:val="clear" w:color="auto" w:fill="auto"/>
            <w:vAlign w:val="center"/>
          </w:tcPr>
          <w:p w14:paraId="129FBACE" w14:textId="77777777" w:rsidR="006E0169" w:rsidRPr="007564A0" w:rsidRDefault="006E0169" w:rsidP="0053590A">
            <w:pPr>
              <w:spacing w:after="0" w:line="240" w:lineRule="auto"/>
              <w:jc w:val="center"/>
              <w:rPr>
                <w:rFonts w:ascii="Times New Roman" w:hAnsi="Times New Roman" w:cs="Times New Roman"/>
                <w:sz w:val="20"/>
                <w:szCs w:val="20"/>
                <w:lang w:eastAsia="ko-KR"/>
              </w:rPr>
            </w:pPr>
          </w:p>
        </w:tc>
      </w:tr>
      <w:tr w:rsidR="006E0169" w:rsidRPr="007564A0" w14:paraId="3A1E498F" w14:textId="77777777" w:rsidTr="0053590A">
        <w:trPr>
          <w:trHeight w:val="288"/>
        </w:trPr>
        <w:tc>
          <w:tcPr>
            <w:tcW w:w="1356" w:type="dxa"/>
            <w:tcBorders>
              <w:top w:val="single" w:sz="4" w:space="0" w:color="00000A"/>
              <w:bottom w:val="single" w:sz="12" w:space="0" w:color="00000A"/>
            </w:tcBorders>
            <w:shd w:val="clear" w:color="auto" w:fill="auto"/>
            <w:vAlign w:val="center"/>
          </w:tcPr>
          <w:p w14:paraId="44EEF03E" w14:textId="77777777" w:rsidR="006E0169" w:rsidRPr="007564A0" w:rsidRDefault="006E0169" w:rsidP="0053590A">
            <w:pPr>
              <w:spacing w:after="0" w:line="240" w:lineRule="auto"/>
              <w:rPr>
                <w:rFonts w:ascii="Times New Roman" w:hAnsi="Times New Roman" w:cs="Times New Roman"/>
                <w:sz w:val="20"/>
                <w:szCs w:val="20"/>
                <w:lang w:eastAsia="ko-KR"/>
              </w:rPr>
            </w:pPr>
            <w:r w:rsidRPr="007564A0">
              <w:rPr>
                <w:rFonts w:ascii="Times New Roman" w:hAnsi="Times New Roman" w:cs="Times New Roman"/>
                <w:sz w:val="20"/>
                <w:szCs w:val="20"/>
                <w:lang w:eastAsia="ko-KR"/>
              </w:rPr>
              <w:t>7. TI</w:t>
            </w:r>
          </w:p>
        </w:tc>
        <w:tc>
          <w:tcPr>
            <w:tcW w:w="711" w:type="dxa"/>
            <w:tcBorders>
              <w:top w:val="single" w:sz="4" w:space="0" w:color="00000A"/>
              <w:bottom w:val="single" w:sz="12" w:space="0" w:color="00000A"/>
            </w:tcBorders>
            <w:shd w:val="clear" w:color="auto" w:fill="auto"/>
            <w:vAlign w:val="center"/>
          </w:tcPr>
          <w:p w14:paraId="1D83460E"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2.41</w:t>
            </w:r>
          </w:p>
        </w:tc>
        <w:tc>
          <w:tcPr>
            <w:tcW w:w="621" w:type="dxa"/>
            <w:tcBorders>
              <w:top w:val="single" w:sz="4" w:space="0" w:color="00000A"/>
              <w:bottom w:val="single" w:sz="12" w:space="0" w:color="00000A"/>
            </w:tcBorders>
            <w:shd w:val="clear" w:color="auto" w:fill="auto"/>
            <w:vAlign w:val="center"/>
          </w:tcPr>
          <w:p w14:paraId="50233E28" w14:textId="77777777" w:rsidR="006E0169" w:rsidRPr="007564A0" w:rsidRDefault="006E0169" w:rsidP="0053590A">
            <w:pPr>
              <w:spacing w:after="0" w:line="240" w:lineRule="auto"/>
              <w:jc w:val="center"/>
              <w:rPr>
                <w:rFonts w:ascii="Times New Roman" w:hAnsi="Times New Roman" w:cs="Times New Roman"/>
                <w:sz w:val="20"/>
                <w:szCs w:val="20"/>
              </w:rPr>
            </w:pPr>
            <w:r w:rsidRPr="007564A0">
              <w:rPr>
                <w:rFonts w:ascii="Times New Roman" w:hAnsi="Times New Roman" w:cs="Times New Roman"/>
                <w:sz w:val="20"/>
                <w:szCs w:val="20"/>
              </w:rPr>
              <w:t>1.24</w:t>
            </w:r>
          </w:p>
        </w:tc>
        <w:tc>
          <w:tcPr>
            <w:tcW w:w="797" w:type="dxa"/>
            <w:tcBorders>
              <w:top w:val="single" w:sz="4" w:space="0" w:color="00000A"/>
              <w:bottom w:val="single" w:sz="12" w:space="0" w:color="00000A"/>
            </w:tcBorders>
            <w:shd w:val="clear" w:color="auto" w:fill="auto"/>
            <w:vAlign w:val="center"/>
          </w:tcPr>
          <w:p w14:paraId="731471C6"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-.50**</w:t>
            </w:r>
          </w:p>
        </w:tc>
        <w:tc>
          <w:tcPr>
            <w:tcW w:w="818" w:type="dxa"/>
            <w:tcBorders>
              <w:top w:val="single" w:sz="4" w:space="0" w:color="00000A"/>
              <w:bottom w:val="single" w:sz="12" w:space="0" w:color="00000A"/>
            </w:tcBorders>
            <w:shd w:val="clear" w:color="auto" w:fill="auto"/>
            <w:vAlign w:val="center"/>
          </w:tcPr>
          <w:p w14:paraId="725DB2AF"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-.65**</w:t>
            </w:r>
          </w:p>
        </w:tc>
        <w:tc>
          <w:tcPr>
            <w:tcW w:w="817" w:type="dxa"/>
            <w:tcBorders>
              <w:top w:val="single" w:sz="4" w:space="0" w:color="00000A"/>
              <w:bottom w:val="single" w:sz="12" w:space="0" w:color="00000A"/>
            </w:tcBorders>
            <w:shd w:val="clear" w:color="auto" w:fill="auto"/>
            <w:vAlign w:val="center"/>
          </w:tcPr>
          <w:p w14:paraId="0F9CEA39"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-.59**</w:t>
            </w:r>
          </w:p>
        </w:tc>
        <w:tc>
          <w:tcPr>
            <w:tcW w:w="816" w:type="dxa"/>
            <w:tcBorders>
              <w:top w:val="single" w:sz="4" w:space="0" w:color="00000A"/>
              <w:bottom w:val="single" w:sz="12" w:space="0" w:color="00000A"/>
            </w:tcBorders>
            <w:shd w:val="clear" w:color="auto" w:fill="auto"/>
            <w:vAlign w:val="center"/>
          </w:tcPr>
          <w:p w14:paraId="11D24FEC"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-.20**</w:t>
            </w:r>
          </w:p>
        </w:tc>
        <w:tc>
          <w:tcPr>
            <w:tcW w:w="817" w:type="dxa"/>
            <w:tcBorders>
              <w:top w:val="single" w:sz="4" w:space="0" w:color="00000A"/>
              <w:bottom w:val="single" w:sz="12" w:space="0" w:color="00000A"/>
            </w:tcBorders>
            <w:shd w:val="clear" w:color="auto" w:fill="auto"/>
            <w:vAlign w:val="center"/>
          </w:tcPr>
          <w:p w14:paraId="4C50C196"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-.38**</w:t>
            </w:r>
          </w:p>
        </w:tc>
        <w:tc>
          <w:tcPr>
            <w:tcW w:w="762" w:type="dxa"/>
            <w:tcBorders>
              <w:top w:val="single" w:sz="4" w:space="0" w:color="00000A"/>
              <w:bottom w:val="single" w:sz="12" w:space="0" w:color="00000A"/>
            </w:tcBorders>
            <w:shd w:val="clear" w:color="auto" w:fill="auto"/>
            <w:vAlign w:val="center"/>
          </w:tcPr>
          <w:p w14:paraId="511F81D1"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-.66**</w:t>
            </w:r>
          </w:p>
        </w:tc>
        <w:tc>
          <w:tcPr>
            <w:tcW w:w="713" w:type="dxa"/>
            <w:tcBorders>
              <w:top w:val="single" w:sz="4" w:space="0" w:color="00000A"/>
              <w:bottom w:val="single" w:sz="12" w:space="0" w:color="00000A"/>
            </w:tcBorders>
            <w:shd w:val="clear" w:color="auto" w:fill="auto"/>
            <w:vAlign w:val="center"/>
          </w:tcPr>
          <w:p w14:paraId="40C3FF19" w14:textId="77777777" w:rsidR="006E0169" w:rsidRPr="007564A0" w:rsidRDefault="006E0169" w:rsidP="0053590A">
            <w:pPr>
              <w:spacing w:after="0" w:line="240" w:lineRule="auto"/>
              <w:jc w:val="center"/>
              <w:rPr>
                <w:rFonts w:ascii="Times New Roman" w:hAnsi="Times New Roman" w:cs="Times New Roman"/>
                <w:sz w:val="20"/>
                <w:szCs w:val="20"/>
                <w:lang w:eastAsia="ko-KR"/>
              </w:rPr>
            </w:pPr>
            <w:r w:rsidRPr="007564A0">
              <w:rPr>
                <w:rFonts w:ascii="Times New Roman" w:hAnsi="Times New Roman" w:cs="Times New Roman"/>
                <w:sz w:val="20"/>
                <w:szCs w:val="20"/>
                <w:lang w:eastAsia="ko-KR"/>
              </w:rPr>
              <w:t>.87</w:t>
            </w:r>
          </w:p>
        </w:tc>
      </w:tr>
    </w:tbl>
    <w:p w14:paraId="36F8C6DF" w14:textId="77777777" w:rsidR="006E0169" w:rsidRPr="007564A0" w:rsidRDefault="006E0169" w:rsidP="006E0169">
      <w:pPr>
        <w:spacing w:after="0" w:line="240" w:lineRule="auto"/>
        <w:ind w:left="90" w:right="990"/>
        <w:rPr>
          <w:rFonts w:ascii="Times New Roman" w:hAnsi="Times New Roman" w:cs="Times New Roman"/>
          <w:sz w:val="20"/>
          <w:szCs w:val="20"/>
        </w:rPr>
      </w:pPr>
      <w:r w:rsidRPr="007564A0">
        <w:rPr>
          <w:rFonts w:ascii="Times New Roman" w:hAnsi="Times New Roman" w:cs="Times New Roman"/>
          <w:i/>
          <w:sz w:val="20"/>
          <w:szCs w:val="20"/>
          <w:lang w:eastAsia="ko-KR"/>
        </w:rPr>
        <w:t>Note. N</w:t>
      </w:r>
      <w:r w:rsidRPr="007564A0">
        <w:rPr>
          <w:rFonts w:ascii="Times New Roman" w:hAnsi="Times New Roman" w:cs="Times New Roman"/>
          <w:sz w:val="20"/>
          <w:szCs w:val="20"/>
          <w:lang w:eastAsia="ko-KR"/>
        </w:rPr>
        <w:t xml:space="preserve"> = 584~585. Coefficients alpha are listed in the diagonal where appropriate. </w:t>
      </w:r>
      <w:r w:rsidRPr="007564A0">
        <w:rPr>
          <w:rFonts w:ascii="Times New Roman" w:hAnsi="Times New Roman" w:cs="Times New Roman"/>
          <w:sz w:val="20"/>
          <w:szCs w:val="20"/>
        </w:rPr>
        <w:t xml:space="preserve">† </w:t>
      </w:r>
      <w:r w:rsidRPr="007564A0">
        <w:rPr>
          <w:rFonts w:ascii="Times New Roman" w:hAnsi="Times New Roman" w:cs="Times New Roman"/>
          <w:i/>
          <w:sz w:val="20"/>
          <w:szCs w:val="20"/>
        </w:rPr>
        <w:t>p</w:t>
      </w:r>
      <w:r w:rsidRPr="007564A0">
        <w:rPr>
          <w:rFonts w:ascii="Times New Roman" w:hAnsi="Times New Roman" w:cs="Times New Roman"/>
          <w:sz w:val="20"/>
          <w:szCs w:val="20"/>
        </w:rPr>
        <w:t xml:space="preserve">&lt;0.1; * </w:t>
      </w:r>
      <w:r w:rsidRPr="007564A0">
        <w:rPr>
          <w:rFonts w:ascii="Times New Roman" w:hAnsi="Times New Roman" w:cs="Times New Roman"/>
          <w:i/>
          <w:sz w:val="20"/>
          <w:szCs w:val="20"/>
        </w:rPr>
        <w:t>p</w:t>
      </w:r>
      <w:r w:rsidRPr="007564A0">
        <w:rPr>
          <w:rFonts w:ascii="Times New Roman" w:hAnsi="Times New Roman" w:cs="Times New Roman"/>
          <w:sz w:val="20"/>
          <w:szCs w:val="20"/>
        </w:rPr>
        <w:t xml:space="preserve">&lt;0.05; ** </w:t>
      </w:r>
      <w:r w:rsidRPr="007564A0">
        <w:rPr>
          <w:rFonts w:ascii="Times New Roman" w:hAnsi="Times New Roman" w:cs="Times New Roman"/>
          <w:i/>
          <w:sz w:val="20"/>
          <w:szCs w:val="20"/>
        </w:rPr>
        <w:t>p</w:t>
      </w:r>
      <w:r w:rsidRPr="007564A0">
        <w:rPr>
          <w:rFonts w:ascii="Times New Roman" w:hAnsi="Times New Roman" w:cs="Times New Roman"/>
          <w:sz w:val="20"/>
          <w:szCs w:val="20"/>
        </w:rPr>
        <w:t>&lt;0.01 (two-tailed tests). POS=Perceived organizational support; LMX-C=Leader-member exchange-closed-ended; LMX-O=Leader-member exchange-open-ended; EM=Empowerment (self-determination); SS=Satisfaction with supervisor; TI=Turnover intentions</w:t>
      </w:r>
    </w:p>
    <w:p w14:paraId="47A74496" w14:textId="77777777" w:rsidR="0043397F" w:rsidRDefault="0043397F"/>
    <w:p w14:paraId="0B10760E" w14:textId="77777777" w:rsidR="0043397F" w:rsidRDefault="0043397F">
      <w:pPr>
        <w:sectPr w:rsidR="0043397F">
          <w:pgSz w:w="12240" w:h="15840"/>
          <w:pgMar w:top="1440" w:right="1440" w:bottom="1440" w:left="1440" w:header="720" w:footer="720" w:gutter="0"/>
          <w:cols w:space="720"/>
          <w:docGrid w:linePitch="360"/>
        </w:sectPr>
      </w:pPr>
    </w:p>
    <w:p w14:paraId="30A799C9" w14:textId="5EE4B3F1" w:rsidR="0043397F" w:rsidRPr="0043397F" w:rsidRDefault="0043397F" w:rsidP="0043397F">
      <w:pPr>
        <w:jc w:val="center"/>
        <w:rPr>
          <w:rFonts w:ascii="Times New Roman" w:hAnsi="Times New Roman" w:cs="Times New Roman"/>
          <w:sz w:val="24"/>
          <w:szCs w:val="24"/>
        </w:rPr>
      </w:pPr>
      <w:r w:rsidRPr="0043397F">
        <w:rPr>
          <w:rFonts w:ascii="Times New Roman" w:hAnsi="Times New Roman" w:cs="Times New Roman"/>
          <w:sz w:val="24"/>
          <w:szCs w:val="24"/>
        </w:rPr>
        <w:lastRenderedPageBreak/>
        <w:t>References</w:t>
      </w:r>
    </w:p>
    <w:p w14:paraId="393F0CAE" w14:textId="77777777" w:rsidR="00EB153A" w:rsidRPr="00EB153A" w:rsidRDefault="0043397F" w:rsidP="00EB153A">
      <w:pPr>
        <w:pStyle w:val="EndNoteBibliography"/>
        <w:spacing w:after="0"/>
        <w:ind w:left="720" w:hanging="720"/>
      </w:pPr>
      <w:r w:rsidRPr="0043397F">
        <w:rPr>
          <w:szCs w:val="24"/>
        </w:rPr>
        <w:fldChar w:fldCharType="begin"/>
      </w:r>
      <w:r w:rsidRPr="0043397F">
        <w:rPr>
          <w:szCs w:val="24"/>
        </w:rPr>
        <w:instrText xml:space="preserve"> ADDIN EN.REFLIST </w:instrText>
      </w:r>
      <w:r w:rsidRPr="0043397F">
        <w:rPr>
          <w:szCs w:val="24"/>
        </w:rPr>
        <w:fldChar w:fldCharType="separate"/>
      </w:r>
      <w:r w:rsidR="00EB153A" w:rsidRPr="00EB153A">
        <w:t xml:space="preserve">Cohen, J. (1960). A coefficient of agreement for nominal scales. </w:t>
      </w:r>
      <w:r w:rsidR="00EB153A" w:rsidRPr="00EB153A">
        <w:rPr>
          <w:i/>
        </w:rPr>
        <w:t>Educational and psychological measurement, 20</w:t>
      </w:r>
      <w:r w:rsidR="00EB153A" w:rsidRPr="00EB153A">
        <w:t>: 37-46.</w:t>
      </w:r>
    </w:p>
    <w:p w14:paraId="30365AFC" w14:textId="77777777" w:rsidR="00EB153A" w:rsidRPr="00EB153A" w:rsidRDefault="00EB153A" w:rsidP="00EB153A">
      <w:pPr>
        <w:pStyle w:val="EndNoteBibliography"/>
        <w:spacing w:after="0"/>
        <w:ind w:left="720" w:hanging="720"/>
      </w:pPr>
      <w:r w:rsidRPr="00EB153A">
        <w:t xml:space="preserve">Fleiss, J. L. (1981). </w:t>
      </w:r>
      <w:r w:rsidRPr="00EB153A">
        <w:rPr>
          <w:i/>
        </w:rPr>
        <w:t>Statistical methods for rates and proportions</w:t>
      </w:r>
      <w:r w:rsidRPr="00EB153A">
        <w:t xml:space="preserve"> (2nd Ed.). New York, NY: John Wiley.</w:t>
      </w:r>
    </w:p>
    <w:p w14:paraId="4357C321" w14:textId="77777777" w:rsidR="00EB153A" w:rsidRPr="00EB153A" w:rsidRDefault="00EB153A" w:rsidP="00EB153A">
      <w:pPr>
        <w:pStyle w:val="EndNoteBibliography"/>
        <w:spacing w:after="0"/>
        <w:ind w:left="720" w:hanging="720"/>
      </w:pPr>
      <w:r w:rsidRPr="00EB153A">
        <w:t xml:space="preserve">McKenny, A. F., Aguinis, H., Short, J. C., &amp; Anglin, A. H. (2016). What Doesn’t Get Measured Does Exist Improving the Accuracy of Computer-Aided Text Analysis. </w:t>
      </w:r>
      <w:r w:rsidRPr="00EB153A">
        <w:rPr>
          <w:i/>
        </w:rPr>
        <w:t>Journal of Management</w:t>
      </w:r>
      <w:r w:rsidRPr="00EB153A">
        <w:t>: 0149206316657594.</w:t>
      </w:r>
    </w:p>
    <w:p w14:paraId="313B50EE" w14:textId="77777777" w:rsidR="00EB153A" w:rsidRPr="00EB153A" w:rsidRDefault="00EB153A" w:rsidP="00EB153A">
      <w:pPr>
        <w:pStyle w:val="EndNoteBibliography"/>
        <w:ind w:left="720" w:hanging="720"/>
      </w:pPr>
      <w:r w:rsidRPr="00EB153A">
        <w:t xml:space="preserve">Short, J. C., Broberg, J. C., Cogliser, C. C., &amp; Brigham, K. H. (2010). Construct validation using computer-aided text analysis (CATA) an illustration using entrepreneurial orientation. </w:t>
      </w:r>
      <w:r w:rsidRPr="00EB153A">
        <w:rPr>
          <w:i/>
        </w:rPr>
        <w:t>Organizational Research Methods, 13</w:t>
      </w:r>
      <w:r w:rsidRPr="00EB153A">
        <w:t>: 320-347.</w:t>
      </w:r>
    </w:p>
    <w:p w14:paraId="48BEFF8A" w14:textId="3169EAF3" w:rsidR="006E0169" w:rsidRDefault="0043397F">
      <w:r w:rsidRPr="0043397F">
        <w:rPr>
          <w:rFonts w:ascii="Times New Roman" w:hAnsi="Times New Roman" w:cs="Times New Roman"/>
          <w:sz w:val="24"/>
          <w:szCs w:val="24"/>
        </w:rPr>
        <w:fldChar w:fldCharType="end"/>
      </w:r>
      <w:bookmarkStart w:id="0" w:name="_GoBack"/>
      <w:bookmarkEnd w:id="0"/>
    </w:p>
    <w:sectPr w:rsidR="006E01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77275" w14:textId="77777777" w:rsidR="003D3C2E" w:rsidRDefault="003D3C2E" w:rsidP="0043397F">
      <w:pPr>
        <w:spacing w:after="0" w:line="240" w:lineRule="auto"/>
      </w:pPr>
      <w:r>
        <w:separator/>
      </w:r>
    </w:p>
  </w:endnote>
  <w:endnote w:type="continuationSeparator" w:id="0">
    <w:p w14:paraId="1EF91235" w14:textId="77777777" w:rsidR="003D3C2E" w:rsidRDefault="003D3C2E" w:rsidP="0043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D6540" w14:textId="77777777" w:rsidR="003D3C2E" w:rsidRDefault="003D3C2E" w:rsidP="0043397F">
      <w:pPr>
        <w:spacing w:after="0" w:line="240" w:lineRule="auto"/>
      </w:pPr>
      <w:r>
        <w:separator/>
      </w:r>
    </w:p>
  </w:footnote>
  <w:footnote w:type="continuationSeparator" w:id="0">
    <w:p w14:paraId="6957A993" w14:textId="77777777" w:rsidR="003D3C2E" w:rsidRDefault="003D3C2E" w:rsidP="00433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74F6" w14:textId="77777777" w:rsidR="0043397F" w:rsidRDefault="00433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x0zsrez2lewpvbevt9j5zr9sffdpdpvep5fr&quot;&gt;Text-mining&lt;record-ids&gt;&lt;item&gt;5&lt;/item&gt;&lt;item&gt;68&lt;/item&gt;&lt;item&gt;69&lt;/item&gt;&lt;item&gt;70&lt;/item&gt;&lt;/record-ids&gt;&lt;/item&gt;&lt;/Libraries&gt;"/>
  </w:docVars>
  <w:rsids>
    <w:rsidRoot w:val="00B60ABC"/>
    <w:rsid w:val="00122C82"/>
    <w:rsid w:val="001D1432"/>
    <w:rsid w:val="003D3C2E"/>
    <w:rsid w:val="0043397F"/>
    <w:rsid w:val="00567D74"/>
    <w:rsid w:val="005C2C88"/>
    <w:rsid w:val="006E0169"/>
    <w:rsid w:val="0074636D"/>
    <w:rsid w:val="007D291A"/>
    <w:rsid w:val="00966E6B"/>
    <w:rsid w:val="00A410EE"/>
    <w:rsid w:val="00A64291"/>
    <w:rsid w:val="00A912AC"/>
    <w:rsid w:val="00AC7C30"/>
    <w:rsid w:val="00AD5075"/>
    <w:rsid w:val="00B60ABC"/>
    <w:rsid w:val="00C47918"/>
    <w:rsid w:val="00D779FA"/>
    <w:rsid w:val="00EB153A"/>
    <w:rsid w:val="00F409D4"/>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8554"/>
  <w15:chartTrackingRefBased/>
  <w15:docId w15:val="{39775DF3-86EC-4FCB-805C-09E01A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D779FA"/>
    <w:rPr>
      <w:sz w:val="16"/>
      <w:szCs w:val="16"/>
    </w:rPr>
  </w:style>
  <w:style w:type="character" w:customStyle="1" w:styleId="CommentTextChar">
    <w:name w:val="Comment Text Char"/>
    <w:basedOn w:val="DefaultParagraphFont"/>
    <w:link w:val="CommentText"/>
    <w:uiPriority w:val="99"/>
    <w:qFormat/>
    <w:rsid w:val="00D779FA"/>
    <w:rPr>
      <w:sz w:val="20"/>
      <w:szCs w:val="20"/>
    </w:rPr>
  </w:style>
  <w:style w:type="paragraph" w:styleId="CommentText">
    <w:name w:val="annotation text"/>
    <w:basedOn w:val="Normal"/>
    <w:link w:val="CommentTextChar"/>
    <w:uiPriority w:val="99"/>
    <w:unhideWhenUsed/>
    <w:qFormat/>
    <w:rsid w:val="00D779FA"/>
    <w:pPr>
      <w:spacing w:line="240" w:lineRule="auto"/>
    </w:pPr>
    <w:rPr>
      <w:sz w:val="20"/>
      <w:szCs w:val="20"/>
    </w:rPr>
  </w:style>
  <w:style w:type="character" w:customStyle="1" w:styleId="CommentTextChar1">
    <w:name w:val="Comment Text Char1"/>
    <w:basedOn w:val="DefaultParagraphFont"/>
    <w:uiPriority w:val="99"/>
    <w:semiHidden/>
    <w:rsid w:val="00D779FA"/>
    <w:rPr>
      <w:sz w:val="20"/>
      <w:szCs w:val="20"/>
    </w:rPr>
  </w:style>
  <w:style w:type="paragraph" w:styleId="BalloonText">
    <w:name w:val="Balloon Text"/>
    <w:basedOn w:val="Normal"/>
    <w:link w:val="BalloonTextChar"/>
    <w:uiPriority w:val="99"/>
    <w:semiHidden/>
    <w:unhideWhenUsed/>
    <w:rsid w:val="00D77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FA"/>
    <w:rPr>
      <w:rFonts w:ascii="Segoe UI" w:hAnsi="Segoe UI" w:cs="Segoe UI"/>
      <w:sz w:val="18"/>
      <w:szCs w:val="18"/>
    </w:rPr>
  </w:style>
  <w:style w:type="paragraph" w:customStyle="1" w:styleId="EndNoteBibliographyTitle">
    <w:name w:val="EndNote Bibliography Title"/>
    <w:basedOn w:val="Normal"/>
    <w:link w:val="EndNoteBibliographyTitleChar"/>
    <w:rsid w:val="0043397F"/>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3397F"/>
    <w:rPr>
      <w:rFonts w:ascii="Times New Roman" w:hAnsi="Times New Roman" w:cs="Times New Roman"/>
      <w:noProof/>
      <w:sz w:val="24"/>
    </w:rPr>
  </w:style>
  <w:style w:type="paragraph" w:customStyle="1" w:styleId="EndNoteBibliography">
    <w:name w:val="EndNote Bibliography"/>
    <w:basedOn w:val="Normal"/>
    <w:link w:val="EndNoteBibliographyChar"/>
    <w:rsid w:val="0043397F"/>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3397F"/>
    <w:rPr>
      <w:rFonts w:ascii="Times New Roman" w:hAnsi="Times New Roman" w:cs="Times New Roman"/>
      <w:noProof/>
      <w:sz w:val="24"/>
    </w:rPr>
  </w:style>
  <w:style w:type="paragraph" w:styleId="Header">
    <w:name w:val="header"/>
    <w:basedOn w:val="Normal"/>
    <w:link w:val="HeaderChar"/>
    <w:uiPriority w:val="99"/>
    <w:unhideWhenUsed/>
    <w:rsid w:val="00433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97F"/>
  </w:style>
  <w:style w:type="paragraph" w:styleId="Footer">
    <w:name w:val="footer"/>
    <w:basedOn w:val="Normal"/>
    <w:link w:val="FooterChar"/>
    <w:uiPriority w:val="99"/>
    <w:unhideWhenUsed/>
    <w:rsid w:val="00433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97F"/>
  </w:style>
  <w:style w:type="paragraph" w:styleId="CommentSubject">
    <w:name w:val="annotation subject"/>
    <w:basedOn w:val="CommentText"/>
    <w:next w:val="CommentText"/>
    <w:link w:val="CommentSubjectChar"/>
    <w:uiPriority w:val="99"/>
    <w:semiHidden/>
    <w:unhideWhenUsed/>
    <w:rsid w:val="00A410EE"/>
    <w:rPr>
      <w:b/>
      <w:bCs/>
    </w:rPr>
  </w:style>
  <w:style w:type="character" w:customStyle="1" w:styleId="CommentSubjectChar">
    <w:name w:val="Comment Subject Char"/>
    <w:basedOn w:val="CommentTextChar"/>
    <w:link w:val="CommentSubject"/>
    <w:uiPriority w:val="99"/>
    <w:semiHidden/>
    <w:rsid w:val="00A41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Banks</dc:creator>
  <cp:keywords/>
  <dc:description/>
  <cp:lastModifiedBy>George Banks</cp:lastModifiedBy>
  <cp:revision>6</cp:revision>
  <dcterms:created xsi:type="dcterms:W3CDTF">2017-11-01T16:21:00Z</dcterms:created>
  <dcterms:modified xsi:type="dcterms:W3CDTF">2017-11-07T13:41:00Z</dcterms:modified>
</cp:coreProperties>
</file>