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GoogleSans-bold.ttf" ContentType="application/x-font-ttf"/>
  <Override PartName="/word/fonts/GoogleSans-boldItalic.ttf" ContentType="application/x-font-ttf"/>
  <Override PartName="/word/fonts/GoogleSans-italic.ttf" ContentType="application/x-font-ttf"/>
  <Override PartName="/word/fonts/GoogleSans-regular.ttf" ContentType="application/x-font-ttf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>
        <w:t>Recommendations (optional):</w:t>
        <w:br/>
        <w:t>Botium Toys should implement least privilege access and separation of duties immediately to reduce unauthorized data exposure. They also need to establish a comprehensive disaster recovery plan and implement regular data backups to improve business continuity. Password policies should be updated to meet modern security standards, and a centralized password management system should be adopted. Encryption must be applied to protect stored credit card data and customer PII/SPII. Finally, deploying an IDS will enhance their threat detection capabilities.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'1.0' encoding='UTF-8' standalone='yes'?>
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