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pPr>
      <w:r>
        <w:rPr>
          <w:rFonts w:ascii="Arial" w:cs="Arial" w:eastAsia="Arial" w:hAnsi="Arial"/>
          <w:b/>
          <w:bCs/>
          <w:color w:val="1A1A2E"/>
          <w:sz w:val="56"/>
          <w:szCs w:val="56"/>
        </w:rPr>
        <w:t xml:space="preserve">AgentRepEngine</w:t>
      </w:r>
    </w:p>
    <w:p>
      <w:pPr>
        <w:spacing w:after="60" w:before="0"/>
      </w:pPr>
      <w:r>
        <w:rPr>
          <w:rFonts w:ascii="Arial" w:cs="Arial" w:eastAsia="Arial" w:hAnsi="Arial"/>
          <w:color w:val="2E4057"/>
          <w:sz w:val="32"/>
          <w:szCs w:val="32"/>
        </w:rPr>
        <w:t xml:space="preserve">Technical Risk Analysis: Comparison + Action Plan</w:t>
      </w:r>
    </w:p>
    <w:p>
      <w:pPr>
        <w:spacing w:after="1440" w:before="60"/>
      </w:pPr>
      <w:r>
        <w:rPr>
          <w:rFonts w:ascii="Arial" w:cs="Arial" w:eastAsia="Arial" w:hAnsi="Arial"/>
          <w:i/>
          <w:iCs/>
          <w:color w:val="888888"/>
          <w:sz w:val="18"/>
          <w:szCs w:val="18"/>
        </w:rPr>
        <w:t xml:space="preserve">April 13, 2026  |  Pre-Lloyd Pilot Hardening  |  INTERNAL — NOT FOR DISTRIBUTION</w:t>
      </w:r>
    </w:p>
    <w:p>
      <w:pPr>
        <w:pBdr>
          <w:bottom w:val="single" w:color="2E4057" w:sz="4" w:space="1"/>
        </w:pBdr>
        <w:spacing w:after="120" w:before="120"/>
      </w:pPr>
      <w:r>
        <w:t xml:space="preserve"/>
      </w:r>
    </w:p>
    <w:p>
      <w:pPr>
        <w:pStyle w:val="Heading1"/>
        <w:spacing w:after="180" w:before="360"/>
      </w:pPr>
      <w:r>
        <w:rPr>
          <w:rFonts w:ascii="Arial" w:cs="Arial" w:eastAsia="Arial" w:hAnsi="Arial"/>
          <w:b/>
          <w:bCs/>
          <w:color w:val="1A1A2E"/>
          <w:sz w:val="32"/>
          <w:szCs w:val="32"/>
        </w:rPr>
        <w:t xml:space="preserve">PART 1 — ANALYSIS COMPARISON</w:t>
      </w:r>
    </w:p>
    <w:p>
      <w:pPr>
        <w:spacing w:after="80" w:before="80"/>
      </w:pPr>
      <w:r>
        <w:t xml:space="preserve"/>
      </w:r>
    </w:p>
    <w:p>
      <w:pPr>
        <w:spacing w:after="60" w:before="60"/>
      </w:pPr>
      <w:r>
        <w:rPr>
          <w:rFonts w:ascii="Arial" w:cs="Arial" w:eastAsia="Arial" w:hAnsi="Arial"/>
          <w:sz w:val="20"/>
          <w:szCs w:val="20"/>
        </w:rPr>
        <w:t xml:space="preserve">Two independent SWOT + failure analyses were run against the same codebase and architecture documentation. This section compares them across 10 dimensions to determine which findings are unique to each, which are corroborated, and which format is appropriate for which audience.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sz w:val="18"/>
                <w:szCs w:val="18"/>
              </w:rPr>
              <w:t xml:space="preserve">Dimension</w:t>
            </w:r>
          </w:p>
        </w:tc>
        <w:tc>
          <w:tcPr>
            <w:tcW w:type="dxa" w:w="3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sz w:val="18"/>
                <w:szCs w:val="18"/>
              </w:rPr>
              <w:t xml:space="preserve">Analysis 1 (First Pass)</w:t>
            </w:r>
          </w:p>
        </w:tc>
        <w:tc>
          <w:tcPr>
            <w:tcW w:type="dxa" w:w="3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sz w:val="18"/>
                <w:szCs w:val="18"/>
              </w:rPr>
              <w:t xml:space="preserve">Analysis 2 (24×24 Extended)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Executive Frame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3-layer epistemic confidence collapse: synthetic corpus + symmetric weights + no production data</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Three-way convergence failure: cold-start + Redis OOM + synthetic corpus hitting simultaneously on day 1 of Lloyd pilot</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sz w:val="18"/>
                <w:szCs w:val="18"/>
              </w:rPr>
              <w:t xml:space="preserve">Structural Depth</w:t>
            </w:r>
          </w:p>
        </w:tc>
        <w:tc>
          <w:tcPr>
            <w:tcW w:type="dxa" w:w="36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sz w:val="18"/>
                <w:szCs w:val="18"/>
              </w:rPr>
              <w:t xml:space="preserve">24 clean, non-repeating failure modes. Each with distinct technical category, impact, mitigation.</w:t>
            </w:r>
          </w:p>
        </w:tc>
        <w:tc>
          <w:tcPr>
            <w:tcW w:type="dxa" w:w="36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sz w:val="18"/>
                <w:szCs w:val="18"/>
              </w:rPr>
              <w:t xml:space="preserve">576 sub-failures across 24 failure taxonomies × 24 time horizons. Higher redundancy but broader coverage.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Root Cause Analysis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3-level nested causation for each finding. Explains why the design choice was made before attacking it.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4-level nested causation + assumption deconstruction. Attacks the assumption, not just the consequence.</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sz w:val="18"/>
                <w:szCs w:val="18"/>
              </w:rPr>
              <w:t xml:space="preserve">Unique Findings (A1 only)</w:t>
            </w:r>
          </w:p>
        </w:tc>
        <w:tc>
          <w:tcPr>
            <w:tcW w:type="dxa" w:w="36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sz w:val="18"/>
                <w:szCs w:val="18"/>
              </w:rPr>
              <w:t xml:space="preserve">Scoring formula produces identical scores for different risk profiles (H=800/V=200 vs H=200/V=800). audit/replay.go mutable table gap. OSCAL not auditor-validated.</w:t>
            </w:r>
          </w:p>
        </w:tc>
        <w:tc>
          <w:tcPr>
            <w:tcW w:type="dxa" w:w="36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sz w:val="18"/>
                <w:szCs w:val="18"/>
              </w:rPr>
              <w:t xml:space="preserve">Concrete 2-second exploit sequence for /verify bypass. Hash chain fork under concurrent writes (W-23). Pen test = immediate pilot blocker (W-20). Windows Docker p99 latency unknown (A1).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Time Horizon Analysis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Not present. Failures treated as static risk.</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Each failure rated at 24h / 1wk / 1mo / 1yr / 5yr. Reveals which risks are Day-1 lethal vs long-term erosion.</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sz w:val="18"/>
                <w:szCs w:val="18"/>
              </w:rPr>
              <w:t xml:space="preserve">Adversarial Modeling</w:t>
            </w:r>
          </w:p>
        </w:tc>
        <w:tc>
          <w:tcPr>
            <w:tcW w:type="dxa" w:w="36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sz w:val="18"/>
                <w:szCs w:val="18"/>
              </w:rPr>
              <w:t xml:space="preserve">Attack consequences noted. No explicit attacker motivation or attack sequence.</w:t>
            </w:r>
          </w:p>
        </w:tc>
        <w:tc>
          <w:tcPr>
            <w:tcW w:type="dxa" w:w="36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sz w:val="18"/>
                <w:szCs w:val="18"/>
              </w:rPr>
              <w:t xml:space="preserve">Explicit attack sequences for top risks. Resource exhaustion, state corruption, timing attacks, baseline manipulation all modeled.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Commercial Consequence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FP on first pilot day = 0% LoU probability. Asymmetric downside noted.</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W-20 (pen test) and W-24 (DORA vendor compliance) show commercial blockers that are independent of technical quality.</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sz w:val="18"/>
                <w:szCs w:val="18"/>
              </w:rPr>
              <w:t xml:space="preserve">Actionability</w:t>
            </w:r>
          </w:p>
        </w:tc>
        <w:tc>
          <w:tcPr>
            <w:tcW w:type="dxa" w:w="36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sz w:val="18"/>
                <w:szCs w:val="18"/>
              </w:rPr>
              <w:t xml:space="preserve">WINNER for engineering team. Each failure maps to a specific file, line, and mitigation. Zero ambiguity.</w:t>
            </w:r>
          </w:p>
        </w:tc>
        <w:tc>
          <w:tcPr>
            <w:tcW w:type="dxa" w:w="36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sz w:val="18"/>
                <w:szCs w:val="18"/>
              </w:rPr>
              <w:t xml:space="preserve">Better for investor/CISO risk briefing. The assumption deconstruction and extreme scenarios are the right format for due diligence conversations.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Gaps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 time horizon classification. No adversarial attack sequences. Does not name the pen test blocker explicitly.</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Some matrix cells are redundant. Action items per failure are less specific to files. Not directly implementable without translation.</w:t>
            </w:r>
          </w:p>
        </w:tc>
      </w:tr>
      <w:tr>
        <w:tc>
          <w:tcPr>
            <w:tcW w:type="dxa" w:w="2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val="false"/>
                <w:bCs w:val="false"/>
                <w:sz w:val="18"/>
                <w:szCs w:val="18"/>
              </w:rPr>
              <w:t xml:space="preserve">Verdict</w:t>
            </w:r>
          </w:p>
        </w:tc>
        <w:tc>
          <w:tcPr>
            <w:tcW w:type="dxa" w:w="368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val="false"/>
                <w:bCs w:val="false"/>
                <w:sz w:val="18"/>
                <w:szCs w:val="18"/>
              </w:rPr>
              <w:t xml:space="preserve">Use for: engineering sprint planning, pre-pilot hardening checklist, Lloyd meeting prep.</w:t>
            </w:r>
          </w:p>
        </w:tc>
        <w:tc>
          <w:tcPr>
            <w:tcW w:type="dxa" w:w="368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val="false"/>
                <w:bCs w:val="false"/>
                <w:sz w:val="18"/>
                <w:szCs w:val="18"/>
              </w:rPr>
              <w:t xml:space="preserve">Use for: investor due diligence, CISO security review, board-level risk presentation, pre-pen-test self-assessment.</w:t>
            </w:r>
          </w:p>
        </w:tc>
      </w:tr>
    </w:tbl>
    <w:p>
      <w:pPr>
        <w:spacing w:after="80" w:before="80"/>
      </w:pPr>
      <w:r>
        <w:t xml:space="preserve"/>
      </w:r>
    </w:p>
    <w:p>
      <w:pPr>
        <w:pStyle w:val="Heading2"/>
        <w:spacing w:after="120" w:before="280"/>
      </w:pPr>
      <w:r>
        <w:rPr>
          <w:rFonts w:ascii="Arial" w:cs="Arial" w:eastAsia="Arial" w:hAnsi="Arial"/>
          <w:b/>
          <w:bCs/>
          <w:color w:val="16213E"/>
          <w:sz w:val="26"/>
          <w:szCs w:val="26"/>
        </w:rPr>
        <w:t xml:space="preserve">Combined Finding — What Both Analyses Agree On</w:t>
      </w:r>
    </w:p>
    <w:p>
      <w:pPr>
        <w:spacing w:after="60" w:before="60"/>
      </w:pPr>
      <w:r>
        <w:rPr>
          <w:rFonts w:ascii="Arial" w:cs="Arial" w:eastAsia="Arial" w:hAnsi="Arial"/>
          <w:sz w:val="20"/>
          <w:szCs w:val="20"/>
        </w:rPr>
        <w:t xml:space="preserve">These are the highest-confidence risks because independent analytical approaches converged on them independently:</w:t>
      </w:r>
    </w:p>
    <w:p>
      <w:pPr>
        <w:pStyle w:val="ListParagraph"/>
        <w:numPr>
          <w:ilvl w:val="0"/>
          <w:numId w:val="2"/>
        </w:numPr>
        <w:spacing w:after="40" w:before="40"/>
      </w:pPr>
      <w:r>
        <w:rPr>
          <w:rFonts w:ascii="Arial" w:cs="Arial" w:eastAsia="Arial" w:hAnsi="Arial"/>
          <w:sz w:val="20"/>
          <w:szCs w:val="20"/>
        </w:rPr>
        <w:t xml:space="preserve">Cold-start z-score undefined behavior (div/zero when std_dev=0) — both analyses flagged this as the first-week critical path failure</w:t>
      </w:r>
    </w:p>
    <w:p>
      <w:pPr>
        <w:pStyle w:val="ListParagraph"/>
        <w:numPr>
          <w:ilvl w:val="0"/>
          <w:numId w:val="2"/>
        </w:numPr>
        <w:spacing w:after="40" w:before="40"/>
      </w:pPr>
      <w:r>
        <w:rPr>
          <w:rFonts w:ascii="Arial" w:cs="Arial" w:eastAsia="Arial" w:hAnsi="Arial"/>
          <w:sz w:val="20"/>
          <w:szCs w:val="20"/>
        </w:rPr>
        <w:t xml:space="preserve">Redis single-point-of-failure for cache + mode state + jti cache — both flagged the silent OOM failure mode as worse than a hard crash</w:t>
      </w:r>
    </w:p>
    <w:p>
      <w:pPr>
        <w:pStyle w:val="ListParagraph"/>
        <w:numPr>
          <w:ilvl w:val="0"/>
          <w:numId w:val="2"/>
        </w:numPr>
        <w:spacing w:after="40" w:before="40"/>
      </w:pPr>
      <w:r>
        <w:rPr>
          <w:rFonts w:ascii="Arial" w:cs="Arial" w:eastAsia="Arial" w:hAnsi="Arial"/>
          <w:sz w:val="20"/>
          <w:szCs w:val="20"/>
        </w:rPr>
        <w:t xml:space="preserve">Synthetic corpus circular validation — both flagged the same-team construction as the root cause of all FP/TP metric uncertainty</w:t>
      </w:r>
    </w:p>
    <w:p>
      <w:pPr>
        <w:pStyle w:val="ListParagraph"/>
        <w:numPr>
          <w:ilvl w:val="0"/>
          <w:numId w:val="2"/>
        </w:numPr>
        <w:spacing w:after="40" w:before="40"/>
      </w:pPr>
      <w:r>
        <w:rPr>
          <w:rFonts w:ascii="Arial" w:cs="Arial" w:eastAsia="Arial" w:hAnsi="Arial"/>
          <w:sz w:val="20"/>
          <w:szCs w:val="20"/>
        </w:rPr>
        <w:t xml:space="preserve">Kong /verify fail-open on 500ms timeout — both flagged the identity bypass risk under load</w:t>
      </w:r>
    </w:p>
    <w:p>
      <w:pPr>
        <w:pStyle w:val="ListParagraph"/>
        <w:numPr>
          <w:ilvl w:val="0"/>
          <w:numId w:val="2"/>
        </w:numPr>
        <w:spacing w:after="40" w:before="40"/>
      </w:pPr>
      <w:r>
        <w:rPr>
          <w:rFonts w:ascii="Arial" w:cs="Arial" w:eastAsia="Arial" w:hAnsi="Arial"/>
          <w:sz w:val="20"/>
          <w:szCs w:val="20"/>
        </w:rPr>
        <w:t xml:space="preserve">Welford's concurrent race condition — both flagged the absence of atomic read-modify-write as a baseline corruption vector</w:t>
      </w:r>
    </w:p>
    <w:p>
      <w:pPr>
        <w:pStyle w:val="ListParagraph"/>
        <w:numPr>
          <w:ilvl w:val="0"/>
          <w:numId w:val="2"/>
        </w:numPr>
        <w:spacing w:after="40" w:before="40"/>
      </w:pPr>
      <w:r>
        <w:rPr>
          <w:rFonts w:ascii="Arial" w:cs="Arial" w:eastAsia="Arial" w:hAnsi="Arial"/>
          <w:sz w:val="20"/>
          <w:szCs w:val="20"/>
        </w:rPr>
        <w:t xml:space="preserve">Feature vector NOT NULL missing at DB level — both flagged this as an unrecoverable data loss scenario</w:t>
      </w:r>
    </w:p>
    <w:p>
      <w:pPr>
        <w:pStyle w:val="ListParagraph"/>
        <w:numPr>
          <w:ilvl w:val="0"/>
          <w:numId w:val="2"/>
        </w:numPr>
        <w:spacing w:after="40" w:before="40"/>
      </w:pPr>
      <w:r>
        <w:rPr>
          <w:rFonts w:ascii="Arial" w:cs="Arial" w:eastAsia="Arial" w:hAnsi="Arial"/>
          <w:sz w:val="20"/>
          <w:szCs w:val="20"/>
        </w:rPr>
        <w:t xml:space="preserve">SIEM webhook delivery with no confirmation — both flagged this as a compliance gap in the audit trail</w:t>
      </w:r>
    </w:p>
    <w:p>
      <w:pPr>
        <w:spacing w:after="80" w:before="80"/>
      </w:pPr>
      <w:r>
        <w:t xml:space="preserve"/>
      </w:r>
    </w:p>
    <w:p>
      <w:pPr>
        <w:pStyle w:val="Heading2"/>
        <w:spacing w:after="120" w:before="280"/>
      </w:pPr>
      <w:r>
        <w:rPr>
          <w:rFonts w:ascii="Arial" w:cs="Arial" w:eastAsia="Arial" w:hAnsi="Arial"/>
          <w:b/>
          <w:bCs/>
          <w:color w:val="16213E"/>
          <w:sz w:val="26"/>
          <w:szCs w:val="26"/>
        </w:rPr>
        <w:t xml:space="preserve">Findings Unique to Analysis 1 (First Pass)</w:t>
      </w:r>
    </w:p>
    <w:p>
      <w:pPr>
        <w:pStyle w:val="ListParagraph"/>
        <w:numPr>
          <w:ilvl w:val="0"/>
          <w:numId w:val="2"/>
        </w:numPr>
        <w:spacing w:after="40" w:before="40"/>
      </w:pPr>
      <w:r>
        <w:rPr>
          <w:rFonts w:ascii="Arial" w:cs="Arial" w:eastAsia="Arial" w:hAnsi="Arial"/>
          <w:sz w:val="20"/>
          <w:szCs w:val="20"/>
        </w:rPr>
        <w:t xml:space="preserve">Scoring formula produces identical composite scores for opposite risk profiles: H=800/V=200 vs H=200/V=800 both yield 500 — MONITORED — despite fundamentally different risk meaning. This requires a risk_profile decomposition field in the reason object.</w:t>
      </w:r>
    </w:p>
    <w:p>
      <w:pPr>
        <w:pStyle w:val="ListParagraph"/>
        <w:numPr>
          <w:ilvl w:val="0"/>
          <w:numId w:val="2"/>
        </w:numPr>
        <w:spacing w:after="40" w:before="40"/>
      </w:pPr>
      <w:r>
        <w:rPr>
          <w:rFonts w:ascii="Arial" w:cs="Arial" w:eastAsia="Arial" w:hAnsi="Arial"/>
          <w:sz w:val="20"/>
          <w:szCs w:val="20"/>
        </w:rPr>
        <w:t xml:space="preserve">audit/replay.go produces SOC2 export from tables that may be mutable — scoring_explanations not confirmed INSERT-only. Hash chain covers enforcement_decisions but not the reason objects linked to them.</w:t>
      </w:r>
    </w:p>
    <w:p>
      <w:pPr>
        <w:pStyle w:val="ListParagraph"/>
        <w:numPr>
          <w:ilvl w:val="0"/>
          <w:numId w:val="2"/>
        </w:numPr>
        <w:spacing w:after="40" w:before="40"/>
      </w:pPr>
      <w:r>
        <w:rPr>
          <w:rFonts w:ascii="Arial" w:cs="Arial" w:eastAsia="Arial" w:hAnsi="Arial"/>
          <w:sz w:val="20"/>
          <w:szCs w:val="20"/>
        </w:rPr>
        <w:t xml:space="preserve">OSCAL bundle output has never been validated against a real SOC2 audit process or against the NIST OSCAL schema validator. The cmd/oscal-generate CLI may produce technically valid OSCAL that is operationally useless to auditors.</w:t>
      </w:r>
    </w:p>
    <w:p>
      <w:pPr>
        <w:spacing w:after="80" w:before="80"/>
      </w:pPr>
      <w:r>
        <w:t xml:space="preserve"/>
      </w:r>
    </w:p>
    <w:p>
      <w:pPr>
        <w:pStyle w:val="Heading2"/>
        <w:spacing w:after="120" w:before="280"/>
      </w:pPr>
      <w:r>
        <w:rPr>
          <w:rFonts w:ascii="Arial" w:cs="Arial" w:eastAsia="Arial" w:hAnsi="Arial"/>
          <w:b/>
          <w:bCs/>
          <w:color w:val="16213E"/>
          <w:sz w:val="26"/>
          <w:szCs w:val="26"/>
        </w:rPr>
        <w:t xml:space="preserve">Findings Unique to Analysis 2 (24×24 Extended)</w:t>
      </w:r>
    </w:p>
    <w:p>
      <w:pPr>
        <w:pStyle w:val="ListParagraph"/>
        <w:numPr>
          <w:ilvl w:val="0"/>
          <w:numId w:val="2"/>
        </w:numPr>
        <w:spacing w:after="40" w:before="40"/>
      </w:pPr>
      <w:r>
        <w:rPr>
          <w:rFonts w:ascii="Arial" w:cs="Arial" w:eastAsia="Arial" w:hAnsi="Arial"/>
          <w:sz w:val="20"/>
          <w:szCs w:val="20"/>
        </w:rPr>
        <w:t xml:space="preserve">Concrete 2-second exploit: saturate /score with 1000 concurrent requests → all /verify calls timeout at 500ms → Kong accepts unsigned JWTs → spoof any agent_did. This is an executable attack, not a theoretical risk.</w:t>
      </w:r>
    </w:p>
    <w:p>
      <w:pPr>
        <w:pStyle w:val="ListParagraph"/>
        <w:numPr>
          <w:ilvl w:val="0"/>
          <w:numId w:val="2"/>
        </w:numPr>
        <w:spacing w:after="40" w:before="40"/>
      </w:pPr>
      <w:r>
        <w:rPr>
          <w:rFonts w:ascii="Arial" w:cs="Arial" w:eastAsia="Arial" w:hAnsi="Arial"/>
          <w:sz w:val="20"/>
          <w:szCs w:val="20"/>
        </w:rPr>
        <w:t xml:space="preserve">Hash chain fork under concurrent enforcement writes (W-23): two simultaneous enforcement decisions with the same prev_hash create a chain fork undetectable by linear verification. Requires tree traversal to detect.</w:t>
      </w:r>
    </w:p>
    <w:p>
      <w:pPr>
        <w:pStyle w:val="ListParagraph"/>
        <w:numPr>
          <w:ilvl w:val="0"/>
          <w:numId w:val="2"/>
        </w:numPr>
        <w:spacing w:after="40" w:before="40"/>
      </w:pPr>
      <w:r>
        <w:rPr>
          <w:rFonts w:ascii="Arial" w:cs="Arial" w:eastAsia="Arial" w:hAnsi="Arial"/>
          <w:sz w:val="20"/>
          <w:szCs w:val="20"/>
        </w:rPr>
        <w:t xml:space="preserve">Enterprise pen test = immediate pilot blocker (W-20): unauthenticated /score + fail-open /verify + dead key in git history + no key rotation schedule = 4 findings that independently fail a standard enterprise security review. The pilot cannot proceed past security approval with these open.</w:t>
      </w:r>
    </w:p>
    <w:p>
      <w:pPr>
        <w:pStyle w:val="ListParagraph"/>
        <w:numPr>
          <w:ilvl w:val="0"/>
          <w:numId w:val="2"/>
        </w:numPr>
        <w:spacing w:after="40" w:before="40"/>
      </w:pPr>
      <w:r>
        <w:rPr>
          <w:rFonts w:ascii="Arial" w:cs="Arial" w:eastAsia="Arial" w:hAnsi="Arial"/>
          <w:sz w:val="20"/>
          <w:szCs w:val="20"/>
        </w:rPr>
        <w:t xml:space="preserve">Windows Docker Desktop p99 latency unknown (A1): the 0.25ns and p99 ≤2ms performance claims were measured on Linux. The deployment target is Windows Docker Desktop. These numbers have never been validated on the actual deployment environment.</w:t>
      </w:r>
    </w:p>
    <w:p>
      <w:pPr>
        <w:pStyle w:val="ListParagraph"/>
        <w:numPr>
          <w:ilvl w:val="0"/>
          <w:numId w:val="2"/>
        </w:numPr>
        <w:spacing w:after="40" w:before="40"/>
      </w:pPr>
      <w:r>
        <w:rPr>
          <w:rFonts w:ascii="Arial" w:cs="Arial" w:eastAsia="Arial" w:hAnsi="Arial"/>
          <w:sz w:val="20"/>
          <w:szCs w:val="20"/>
        </w:rPr>
        <w:t xml:space="preserve">Decay constant resonance with slow-walk: an attacker who calibrates rate increase to shift the baseline while staying below the 2x/week variance trigger causes both the baseline and the decay to shift in the same direction — a compound masking effect that neither mechanism alone detects.</w:t>
      </w:r>
    </w:p>
    <w:p>
      <w:pPr>
        <w:spacing w:after="80" w:before="80"/>
      </w:pPr>
      <w:r>
        <w:t xml:space="preserve"/>
      </w:r>
    </w:p>
    <w:p>
      <w:pPr>
        <w:pBdr>
          <w:bottom w:val="single" w:color="2E4057" w:sz="4" w:space="1"/>
        </w:pBdr>
        <w:spacing w:after="120" w:before="120"/>
      </w:pPr>
      <w:r>
        <w:t xml:space="preserve"/>
      </w:r>
    </w:p>
    <w:p>
      <w:r>
        <w:br w:type="page"/>
      </w:r>
    </w:p>
    <w:p>
      <w:pPr>
        <w:pStyle w:val="Heading1"/>
        <w:spacing w:after="180" w:before="360"/>
      </w:pPr>
      <w:r>
        <w:rPr>
          <w:rFonts w:ascii="Arial" w:cs="Arial" w:eastAsia="Arial" w:hAnsi="Arial"/>
          <w:b/>
          <w:bCs/>
          <w:color w:val="1A1A2E"/>
          <w:sz w:val="32"/>
          <w:szCs w:val="32"/>
        </w:rPr>
        <w:t xml:space="preserve">PART 2 — ACTION PLAN</w:t>
      </w:r>
    </w:p>
    <w:p>
      <w:pPr>
        <w:spacing w:after="80" w:before="80"/>
      </w:pPr>
      <w:r>
        <w:t xml:space="preserve"/>
      </w:r>
    </w:p>
    <w:p>
      <w:pPr>
        <w:spacing w:after="60" w:before="60"/>
      </w:pPr>
      <w:r>
        <w:rPr>
          <w:rFonts w:ascii="Arial" w:cs="Arial" w:eastAsia="Arial" w:hAnsi="Arial"/>
          <w:sz w:val="20"/>
          <w:szCs w:val="20"/>
        </w:rPr>
        <w:t xml:space="preserve">All failures from both analyses are classified into four tiers: CRITICAL (fix before Lloyd meeting April 28), HIGH (fix before pilot go-live), MEDIUM (fix during pilot observe window), and DEFERRED (post-LoU or Phase 2). Total engineering effort: ~57 hours across Critical + High + Medium.</w:t>
      </w:r>
    </w:p>
    <w:p>
      <w:pPr>
        <w:spacing w:after="80" w:before="80"/>
      </w:pPr>
      <w:r>
        <w:t xml:space="preserve"/>
      </w:r>
    </w:p>
    <w:p>
      <w:pPr>
        <w:pStyle w:val="Heading2"/>
        <w:spacing w:after="120" w:before="280"/>
      </w:pPr>
      <w:r>
        <w:rPr>
          <w:rFonts w:ascii="Arial" w:cs="Arial" w:eastAsia="Arial" w:hAnsi="Arial"/>
          <w:b/>
          <w:bCs/>
          <w:color w:val="16213E"/>
          <w:sz w:val="26"/>
          <w:szCs w:val="26"/>
        </w:rPr>
        <w:t xml:space="preserve">TIER CRITICAL — Fix Before Lloyd Meeting (April 28)</w:t>
      </w:r>
    </w:p>
    <w:p>
      <w:pPr>
        <w:spacing w:after="60" w:before="60"/>
      </w:pPr>
      <w:r>
        <w:rPr>
          <w:rFonts w:ascii="Arial" w:cs="Arial" w:eastAsia="Arial" w:hAnsi="Arial"/>
          <w:b/>
          <w:bCs/>
          <w:sz w:val="20"/>
          <w:szCs w:val="20"/>
        </w:rPr>
        <w:t xml:space="preserve">15 days. ~18 hours total. </w:t>
      </w:r>
      <w:r>
        <w:rPr>
          <w:rFonts w:ascii="Arial" w:cs="Arial" w:eastAsia="Arial" w:hAnsi="Arial"/>
          <w:sz w:val="20"/>
          <w:szCs w:val="20"/>
        </w:rPr>
        <w:t xml:space="preserve">These failures will be discovered in a standard enterprise security review. If any remain open when Lloyd's security team runs pre-pilot due diligence, the pilot does not proceed.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3400"/>
        <w:gridCol w:w="600"/>
        <w:gridCol w:w="2660"/>
      </w:tblGrid>
      <w:tr>
        <w:tc>
          <w:tcPr>
            <w:tcW w:type="dxa" w:w="5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sz w:val="18"/>
                <w:szCs w:val="18"/>
              </w:rPr>
              <w:t xml:space="preserve">ID</w:t>
            </w:r>
          </w:p>
        </w:tc>
        <w:tc>
          <w:tcPr>
            <w:tcW w:type="dxa" w:w="22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sz w:val="18"/>
                <w:szCs w:val="18"/>
              </w:rPr>
              <w:t xml:space="preserve">Failure</w:t>
            </w:r>
          </w:p>
        </w:tc>
        <w:tc>
          <w:tcPr>
            <w:tcW w:type="dxa" w:w="34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sz w:val="18"/>
                <w:szCs w:val="18"/>
              </w:rPr>
              <w:t xml:space="preserve">Remediation</w:t>
            </w:r>
          </w:p>
        </w:tc>
        <w:tc>
          <w:tcPr>
            <w:tcW w:type="dxa" w:w="6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sz w:val="18"/>
                <w:szCs w:val="18"/>
              </w:rPr>
              <w:t xml:space="preserve">Effort</w:t>
            </w:r>
          </w:p>
        </w:tc>
        <w:tc>
          <w:tcPr>
            <w:tcW w:type="dxa" w:w="26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sz w:val="18"/>
                <w:szCs w:val="18"/>
              </w:rPr>
              <w:t xml:space="preserve">File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Cold-start z-score div/zero</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Add bootstrap state: min 5 events before z-score activates. Safe default V=850 during bootstrap. Add agent_bootstrap_status field in Redis.</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 hrs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baseline.go + scorer.go</w:t>
            </w:r>
          </w:p>
        </w:tc>
      </w:tr>
      <w:tr>
        <w:tc>
          <w:tcPr>
            <w:tcW w:type="dxa" w:w="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C-2</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Welford concurrent race condition</w:t>
            </w:r>
          </w:p>
        </w:tc>
        <w:tc>
          <w:tcPr>
            <w:tcW w:type="dxa" w:w="3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Wrap all baseline read-modify-write in Redis MULTI/EXEC Lua atomic. Add go test -race to CI. Verify with 50 concurrent same-agent events.</w:t>
            </w:r>
          </w:p>
        </w:tc>
        <w:tc>
          <w:tcPr>
            <w:tcW w:type="dxa" w:w="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3 hrs</w:t>
            </w:r>
          </w:p>
        </w:tc>
        <w:tc>
          <w:tcPr>
            <w:tcW w:type="dxa" w:w="26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baseline.go</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Redis OOM silent enforcement bypass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Add Redis USED_MEMORY alert at 80% threshold. Add write-return-code checks on all HSET calls. Instrument prometheus metric: redis_memory_pct.</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 hrs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score_store.go</w:t>
            </w:r>
          </w:p>
        </w:tc>
      </w:tr>
      <w:tr>
        <w:tc>
          <w:tcPr>
            <w:tcW w:type="dxa" w:w="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C-4</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Kong /verify fail-open identity spoofing</w:t>
            </w:r>
          </w:p>
        </w:tc>
        <w:tc>
          <w:tcPr>
            <w:tcW w:type="dxa" w:w="3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Add circuit breaker on Kong→scoring calls. Log 'identity-unverified' events distinctly (not as infrastructure noise). Add SCORING_API_KEY auth enforcement on /verify.</w:t>
            </w:r>
          </w:p>
        </w:tc>
        <w:tc>
          <w:tcPr>
            <w:tcW w:type="dxa" w:w="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3 hrs</w:t>
            </w:r>
          </w:p>
        </w:tc>
        <w:tc>
          <w:tcPr>
            <w:tcW w:type="dxa" w:w="26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handler.lua + main.go</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/score endpoint unauthenticated on :8080</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Enforce SCORING_API_KEY on ALL /score, /event, /audit endpoints. Add middleware in main.go. Document in security-attestation.md.</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 hrs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main.go</w:t>
            </w:r>
          </w:p>
        </w:tc>
      </w:tr>
      <w:tr>
        <w:tc>
          <w:tcPr>
            <w:tcW w:type="dxa" w:w="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C-6</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Feature vector NOT NULL not at DB level</w:t>
            </w:r>
          </w:p>
        </w:tc>
        <w:tc>
          <w:tcPr>
            <w:tcW w:type="dxa" w:w="3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Add schema migration: NOT NULL on all 8 feature columns with DEFAULT 0.0. Run migration against existing data. Add NOT NULL check to CI.</w:t>
            </w:r>
          </w:p>
        </w:tc>
        <w:tc>
          <w:tcPr>
            <w:tcW w:type="dxa" w:w="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1 hr</w:t>
            </w:r>
          </w:p>
        </w:tc>
        <w:tc>
          <w:tcPr>
            <w:tcW w:type="dxa" w:w="26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migrations/002_feature_vector_nn.sql</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Private key in git history — replay window</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Verify current key rotation is complete. Document rotation timestamp. Add jti TTL = JWT expiry (not shorter). Add Redis-restart jti recovery from Postgres.</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 hrs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jwt.go + score_store.go</w:t>
            </w:r>
          </w:p>
        </w:tc>
      </w:tr>
      <w:tr>
        <w:tc>
          <w:tcPr>
            <w:tcW w:type="dxa" w:w="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C-8</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Evaluation corpus contamination — circular validation</w:t>
            </w:r>
          </w:p>
        </w:tc>
        <w:tc>
          <w:tcPr>
            <w:tcW w:type="dxa" w:w="3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Seal held-out set (20%) in tests/held_out_sealed/ with .gitattributes deny-read flag. Document corpus construction protocol in evaluation-harness-methodology.md.</w:t>
            </w:r>
          </w:p>
        </w:tc>
        <w:tc>
          <w:tcPr>
            <w:tcW w:type="dxa" w:w="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1 hr</w:t>
            </w:r>
          </w:p>
        </w:tc>
        <w:tc>
          <w:tcPr>
            <w:tcW w:type="dxa" w:w="26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tests/ + TW-9 doc</w:t>
            </w:r>
          </w:p>
        </w:tc>
      </w:tr>
    </w:tbl>
    <w:p>
      <w:pPr>
        <w:spacing w:after="80" w:before="80"/>
      </w:pPr>
      <w:r>
        <w:t xml:space="preserve"/>
      </w:r>
    </w:p>
    <w:p>
      <w:pPr>
        <w:spacing w:after="60" w:before="60"/>
      </w:pPr>
      <w:r>
        <w:rPr>
          <w:rFonts w:ascii="Arial" w:cs="Arial" w:eastAsia="Arial" w:hAnsi="Arial"/>
          <w:b/>
          <w:bCs/>
          <w:sz w:val="20"/>
          <w:szCs w:val="20"/>
        </w:rPr>
        <w:t xml:space="preserve">Critical Tier Total: </w:t>
      </w:r>
      <w:r>
        <w:rPr>
          <w:rFonts w:ascii="Arial" w:cs="Arial" w:eastAsia="Arial" w:hAnsi="Arial"/>
          <w:sz w:val="20"/>
          <w:szCs w:val="20"/>
        </w:rPr>
        <w:t xml:space="preserve">~18 hours | 8 items | All must be closed by April 25 (3-day buffer before meeting)</w:t>
      </w:r>
    </w:p>
    <w:p>
      <w:pPr>
        <w:spacing w:after="80" w:before="80"/>
      </w:pPr>
      <w:r>
        <w:t xml:space="preserve"/>
      </w:r>
    </w:p>
    <w:p>
      <w:pPr>
        <w:pStyle w:val="Heading2"/>
        <w:spacing w:after="120" w:before="280"/>
      </w:pPr>
      <w:r>
        <w:rPr>
          <w:rFonts w:ascii="Arial" w:cs="Arial" w:eastAsia="Arial" w:hAnsi="Arial"/>
          <w:b/>
          <w:bCs/>
          <w:color w:val="16213E"/>
          <w:sz w:val="26"/>
          <w:szCs w:val="26"/>
        </w:rPr>
        <w:t xml:space="preserve">TIER HIGH — Fix Before Pilot Go-Live (Within 2 Weeks of LoU)</w:t>
      </w:r>
    </w:p>
    <w:p>
      <w:pPr>
        <w:spacing w:after="60" w:before="60"/>
      </w:pPr>
      <w:r>
        <w:rPr>
          <w:rFonts w:ascii="Arial" w:cs="Arial" w:eastAsia="Arial" w:hAnsi="Arial"/>
          <w:b/>
          <w:bCs/>
          <w:sz w:val="20"/>
          <w:szCs w:val="20"/>
        </w:rPr>
        <w:t xml:space="preserve">~33 hours total. </w:t>
      </w:r>
      <w:r>
        <w:rPr>
          <w:rFonts w:ascii="Arial" w:cs="Arial" w:eastAsia="Arial" w:hAnsi="Arial"/>
          <w:sz w:val="20"/>
          <w:szCs w:val="20"/>
        </w:rPr>
        <w:t xml:space="preserve">These failures are survivable for the Lloyd meeting but will cause observable pilot failures within the first 30 days if unaddressed.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3400"/>
        <w:gridCol w:w="600"/>
        <w:gridCol w:w="2660"/>
      </w:tblGrid>
      <w:tr>
        <w:tc>
          <w:tcPr>
            <w:tcW w:type="dxa" w:w="5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r>
              <w:rPr>
                <w:rFonts w:ascii="Arial" w:cs="Arial" w:eastAsia="Arial" w:hAnsi="Arial"/>
                <w:b/>
                <w:bCs/>
                <w:sz w:val="18"/>
                <w:szCs w:val="18"/>
              </w:rPr>
              <w:t xml:space="preserve">ID</w:t>
            </w:r>
          </w:p>
        </w:tc>
        <w:tc>
          <w:tcPr>
            <w:tcW w:type="dxa" w:w="22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r>
              <w:rPr>
                <w:rFonts w:ascii="Arial" w:cs="Arial" w:eastAsia="Arial" w:hAnsi="Arial"/>
                <w:b/>
                <w:bCs/>
                <w:sz w:val="18"/>
                <w:szCs w:val="18"/>
              </w:rPr>
              <w:t xml:space="preserve">Failure</w:t>
            </w:r>
          </w:p>
        </w:tc>
        <w:tc>
          <w:tcPr>
            <w:tcW w:type="dxa" w:w="34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r>
              <w:rPr>
                <w:rFonts w:ascii="Arial" w:cs="Arial" w:eastAsia="Arial" w:hAnsi="Arial"/>
                <w:b/>
                <w:bCs/>
                <w:sz w:val="18"/>
                <w:szCs w:val="18"/>
              </w:rPr>
              <w:t xml:space="preserve">Remediation</w:t>
            </w:r>
          </w:p>
        </w:tc>
        <w:tc>
          <w:tcPr>
            <w:tcW w:type="dxa" w:w="6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r>
              <w:rPr>
                <w:rFonts w:ascii="Arial" w:cs="Arial" w:eastAsia="Arial" w:hAnsi="Arial"/>
                <w:b/>
                <w:bCs/>
                <w:sz w:val="18"/>
                <w:szCs w:val="18"/>
              </w:rPr>
              <w:t xml:space="preserve">Effort</w:t>
            </w:r>
          </w:p>
        </w:tc>
        <w:tc>
          <w:tcPr>
            <w:tcW w:type="dxa" w:w="266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r>
              <w:rPr>
                <w:rFonts w:ascii="Arial" w:cs="Arial" w:eastAsia="Arial" w:hAnsi="Arial"/>
                <w:b/>
                <w:bCs/>
                <w:sz w:val="18"/>
                <w:szCs w:val="18"/>
              </w:rPr>
              <w:t xml:space="preserve">File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Redis SPOF for mode + cache + jti</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Write every SIR state transition durably to agent_state_transitions table. Redis = cache of Postgres state, never authoritative for mode.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 hrs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mode_controller.go + migrations/</w:t>
            </w:r>
          </w:p>
        </w:tc>
      </w:tr>
      <w:tr>
        <w:tc>
          <w:tcPr>
            <w:tcW w:type="dxa" w:w="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H-2</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PostgreSQL queue — no SKIP LOCKED, no dead-letter</w:t>
            </w:r>
          </w:p>
        </w:tc>
        <w:tc>
          <w:tcPr>
            <w:tcW w:type="dxa" w:w="3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Add SELECT FOR UPDATE SKIP LOCKED to consumer. Add retry_count + failed_at columns. Move events failing after 3 retries to dead_letter_events. Alert on dead-letter depth &gt; 0.</w:t>
            </w:r>
          </w:p>
        </w:tc>
        <w:tc>
          <w:tcPr>
            <w:tcW w:type="dxa" w:w="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4 hrs</w:t>
            </w:r>
          </w:p>
        </w:tc>
        <w:tc>
          <w:tcPr>
            <w:tcW w:type="dxa" w:w="26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consumer.go + migrations/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Decay constant hardcoded — batch agent FP</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Move decay_rate to scoring_weights.yaml. Add per-agent-type decay profile (batch: 0.02, realtime: 0.1). Prevents weekly batch agent FP on first run.</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 hrs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scorer.go + config.go</w:t>
            </w:r>
          </w:p>
        </w:tc>
      </w:tr>
      <w:tr>
        <w:tc>
          <w:tcPr>
            <w:tcW w:type="dxa" w:w="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H-4</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jti cache lost on Redis restart</w:t>
            </w:r>
          </w:p>
        </w:tc>
        <w:tc>
          <w:tcPr>
            <w:tcW w:type="dxa" w:w="3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Persist all issued jtis to postgres jti_cache table (TTL = JWT expiry). Redis = fast lookup, Postgres = recovery source. On Redis restart, rebuild jti cache from Postgres.</w:t>
            </w:r>
          </w:p>
        </w:tc>
        <w:tc>
          <w:tcPr>
            <w:tcW w:type="dxa" w:w="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3 hrs</w:t>
            </w:r>
          </w:p>
        </w:tc>
        <w:tc>
          <w:tcPr>
            <w:tcW w:type="dxa" w:w="26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jwt.go + store/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SIEM webhook — no delivery confirmation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Add pending_siem_events table. Deliver with exponential backoff (3 retries, 30/60/120s). Mark delivered on 2xx. Alert on delivery_failures &gt; 0.</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 hrs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siem.go + migrations/</w:t>
            </w:r>
          </w:p>
        </w:tc>
      </w:tr>
      <w:tr>
        <w:tc>
          <w:tcPr>
            <w:tcW w:type="dxa" w:w="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H-6</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ModeController — non-durable enforcement mode</w:t>
            </w:r>
          </w:p>
        </w:tc>
        <w:tc>
          <w:tcPr>
            <w:tcW w:type="dxa" w:w="3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Write every mode transition to enforcement_mode_history table in Postgres. On startup, read authoritative mode from Postgres, cache in Redis.</w:t>
            </w:r>
          </w:p>
        </w:tc>
        <w:tc>
          <w:tcPr>
            <w:tcW w:type="dxa" w:w="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2 hrs</w:t>
            </w:r>
          </w:p>
        </w:tc>
        <w:tc>
          <w:tcPr>
            <w:tcW w:type="dxa" w:w="26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mode_controller.go</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Hash chain — O(n) verification, no snapshots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Add chain_snapshots table: signed root hash every 10,000 events. cmd/verify-decision reads from nearest snapshot. Bounds verification to O(10k) not O(all).</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 hrs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audit/ + cmd/verify-decision</w:t>
            </w:r>
          </w:p>
        </w:tc>
      </w:tr>
      <w:tr>
        <w:tc>
          <w:tcPr>
            <w:tcW w:type="dxa" w:w="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H-8</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YAML policy — no schema validation on load</w:t>
            </w:r>
          </w:p>
        </w:tc>
        <w:tc>
          <w:tcPr>
            <w:tcW w:type="dxa" w:w="3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Define strict Go struct with validate tags for every policy field. Add startup validation: load all YAMLs, validate, refuse to start if invalid. Add test for malformed YAML.</w:t>
            </w:r>
          </w:p>
        </w:tc>
        <w:tc>
          <w:tcPr>
            <w:tcW w:type="dxa" w:w="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2 hrs</w:t>
            </w:r>
          </w:p>
        </w:tc>
        <w:tc>
          <w:tcPr>
            <w:tcW w:type="dxa" w:w="26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policy.go</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50/50 weight — uncalibrated, high-H blind spot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Run weight sensitivity analysis on 150-scenario corpus. Publish H/V decomposition in reason object (risk_profile field). Document calibration methodology in TW-9.</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 hrs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scorer.go + explainability.go</w:t>
            </w:r>
          </w:p>
        </w:tc>
      </w:tr>
      <w:tr>
        <w:tc>
          <w:tcPr>
            <w:tcW w:type="dxa" w:w="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H-10</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No rate limit on /event — queue flood possible</w:t>
            </w:r>
          </w:p>
        </w:tc>
        <w:tc>
          <w:tcPr>
            <w:tcW w:type="dxa" w:w="3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Add per-agent-DID rate limit: 100 events/min. Return 429 + Retry-After. Document ceiling in TW-11 prerequisites checklist Section B.</w:t>
            </w:r>
          </w:p>
        </w:tc>
        <w:tc>
          <w:tcPr>
            <w:tcW w:type="dxa" w:w="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2 hrs</w:t>
            </w:r>
          </w:p>
        </w:tc>
        <w:tc>
          <w:tcPr>
            <w:tcW w:type="dxa" w:w="26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main.go</w:t>
            </w:r>
          </w:p>
        </w:tc>
      </w:tr>
    </w:tbl>
    <w:p>
      <w:pPr>
        <w:spacing w:after="80" w:before="80"/>
      </w:pPr>
      <w:r>
        <w:t xml:space="preserve"/>
      </w:r>
    </w:p>
    <w:p>
      <w:pPr>
        <w:spacing w:after="60" w:before="60"/>
      </w:pPr>
      <w:r>
        <w:rPr>
          <w:rFonts w:ascii="Arial" w:cs="Arial" w:eastAsia="Arial" w:hAnsi="Arial"/>
          <w:b/>
          <w:bCs/>
          <w:sz w:val="20"/>
          <w:szCs w:val="20"/>
        </w:rPr>
        <w:t xml:space="preserve">High Tier Total: </w:t>
      </w:r>
      <w:r>
        <w:rPr>
          <w:rFonts w:ascii="Arial" w:cs="Arial" w:eastAsia="Arial" w:hAnsi="Arial"/>
          <w:sz w:val="20"/>
          <w:szCs w:val="20"/>
        </w:rPr>
        <w:t xml:space="preserve">~33 hours | 10 items | Target: complete within 2 weeks of LoU signature</w:t>
      </w:r>
    </w:p>
    <w:p>
      <w:pPr>
        <w:spacing w:after="80" w:before="80"/>
      </w:pPr>
      <w:r>
        <w:t xml:space="preserve"/>
      </w:r>
    </w:p>
    <w:p>
      <w:pPr>
        <w:pStyle w:val="Heading2"/>
        <w:spacing w:after="120" w:before="280"/>
      </w:pPr>
      <w:r>
        <w:rPr>
          <w:rFonts w:ascii="Arial" w:cs="Arial" w:eastAsia="Arial" w:hAnsi="Arial"/>
          <w:b/>
          <w:bCs/>
          <w:color w:val="16213E"/>
          <w:sz w:val="26"/>
          <w:szCs w:val="26"/>
        </w:rPr>
        <w:t xml:space="preserve">TIER MEDIUM — Fix During Observe Window (Weeks 2–6 of Pilot)</w:t>
      </w:r>
    </w:p>
    <w:p>
      <w:pPr>
        <w:spacing w:after="60" w:before="60"/>
      </w:pPr>
      <w:r>
        <w:rPr>
          <w:rFonts w:ascii="Arial" w:cs="Arial" w:eastAsia="Arial" w:hAnsi="Arial"/>
          <w:b/>
          <w:bCs/>
          <w:sz w:val="20"/>
          <w:szCs w:val="20"/>
        </w:rPr>
        <w:t xml:space="preserve">~19 hours total. </w:t>
      </w:r>
      <w:r>
        <w:rPr>
          <w:rFonts w:ascii="Arial" w:cs="Arial" w:eastAsia="Arial" w:hAnsi="Arial"/>
          <w:sz w:val="20"/>
          <w:szCs w:val="20"/>
        </w:rPr>
        <w:t xml:space="preserve">These failures are operational quality issues that erode trust and compliance posture over the pilot duration.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3400"/>
        <w:gridCol w:w="600"/>
        <w:gridCol w:w="2660"/>
      </w:tblGrid>
      <w:tr>
        <w:tc>
          <w:tcPr>
            <w:tcW w:type="dxa" w:w="500"/>
            <w:tcBorders>
              <w:top w:val="single" w:color="CCCCCC" w:sz="1"/>
              <w:left w:val="single" w:color="CCCCCC" w:sz="1"/>
              <w:bottom w:val="single" w:color="CCCCCC" w:sz="1"/>
              <w:right w:val="single" w:color="CCCCCC" w:sz="1"/>
            </w:tcBorders>
            <w:shd w:fill="2980B9" w:val="clear"/>
            <w:tcMar>
              <w:top w:type="dxa" w:w="80"/>
              <w:left w:type="dxa" w:w="120"/>
              <w:bottom w:type="dxa" w:w="80"/>
              <w:right w:type="dxa" w:w="120"/>
            </w:tcMar>
          </w:tcPr>
          <w:p>
            <w:r>
              <w:rPr>
                <w:rFonts w:ascii="Arial" w:cs="Arial" w:eastAsia="Arial" w:hAnsi="Arial"/>
                <w:b/>
                <w:bCs/>
                <w:sz w:val="18"/>
                <w:szCs w:val="18"/>
              </w:rPr>
              <w:t xml:space="preserve">ID</w:t>
            </w:r>
          </w:p>
        </w:tc>
        <w:tc>
          <w:tcPr>
            <w:tcW w:type="dxa" w:w="2200"/>
            <w:tcBorders>
              <w:top w:val="single" w:color="CCCCCC" w:sz="1"/>
              <w:left w:val="single" w:color="CCCCCC" w:sz="1"/>
              <w:bottom w:val="single" w:color="CCCCCC" w:sz="1"/>
              <w:right w:val="single" w:color="CCCCCC" w:sz="1"/>
            </w:tcBorders>
            <w:shd w:fill="2980B9" w:val="clear"/>
            <w:tcMar>
              <w:top w:type="dxa" w:w="80"/>
              <w:left w:type="dxa" w:w="120"/>
              <w:bottom w:type="dxa" w:w="80"/>
              <w:right w:type="dxa" w:w="120"/>
            </w:tcMar>
          </w:tcPr>
          <w:p>
            <w:r>
              <w:rPr>
                <w:rFonts w:ascii="Arial" w:cs="Arial" w:eastAsia="Arial" w:hAnsi="Arial"/>
                <w:b/>
                <w:bCs/>
                <w:sz w:val="18"/>
                <w:szCs w:val="18"/>
              </w:rPr>
              <w:t xml:space="preserve">Failure</w:t>
            </w:r>
          </w:p>
        </w:tc>
        <w:tc>
          <w:tcPr>
            <w:tcW w:type="dxa" w:w="3400"/>
            <w:tcBorders>
              <w:top w:val="single" w:color="CCCCCC" w:sz="1"/>
              <w:left w:val="single" w:color="CCCCCC" w:sz="1"/>
              <w:bottom w:val="single" w:color="CCCCCC" w:sz="1"/>
              <w:right w:val="single" w:color="CCCCCC" w:sz="1"/>
            </w:tcBorders>
            <w:shd w:fill="2980B9" w:val="clear"/>
            <w:tcMar>
              <w:top w:type="dxa" w:w="80"/>
              <w:left w:type="dxa" w:w="120"/>
              <w:bottom w:type="dxa" w:w="80"/>
              <w:right w:type="dxa" w:w="120"/>
            </w:tcMar>
          </w:tcPr>
          <w:p>
            <w:r>
              <w:rPr>
                <w:rFonts w:ascii="Arial" w:cs="Arial" w:eastAsia="Arial" w:hAnsi="Arial"/>
                <w:b/>
                <w:bCs/>
                <w:sz w:val="18"/>
                <w:szCs w:val="18"/>
              </w:rPr>
              <w:t xml:space="preserve">Remediation</w:t>
            </w:r>
          </w:p>
        </w:tc>
        <w:tc>
          <w:tcPr>
            <w:tcW w:type="dxa" w:w="600"/>
            <w:tcBorders>
              <w:top w:val="single" w:color="CCCCCC" w:sz="1"/>
              <w:left w:val="single" w:color="CCCCCC" w:sz="1"/>
              <w:bottom w:val="single" w:color="CCCCCC" w:sz="1"/>
              <w:right w:val="single" w:color="CCCCCC" w:sz="1"/>
            </w:tcBorders>
            <w:shd w:fill="2980B9" w:val="clear"/>
            <w:tcMar>
              <w:top w:type="dxa" w:w="80"/>
              <w:left w:type="dxa" w:w="120"/>
              <w:bottom w:type="dxa" w:w="80"/>
              <w:right w:type="dxa" w:w="120"/>
            </w:tcMar>
          </w:tcPr>
          <w:p>
            <w:r>
              <w:rPr>
                <w:rFonts w:ascii="Arial" w:cs="Arial" w:eastAsia="Arial" w:hAnsi="Arial"/>
                <w:b/>
                <w:bCs/>
                <w:sz w:val="18"/>
                <w:szCs w:val="18"/>
              </w:rPr>
              <w:t xml:space="preserve">Effort</w:t>
            </w:r>
          </w:p>
        </w:tc>
        <w:tc>
          <w:tcPr>
            <w:tcW w:type="dxa" w:w="2660"/>
            <w:tcBorders>
              <w:top w:val="single" w:color="CCCCCC" w:sz="1"/>
              <w:left w:val="single" w:color="CCCCCC" w:sz="1"/>
              <w:bottom w:val="single" w:color="CCCCCC" w:sz="1"/>
              <w:right w:val="single" w:color="CCCCCC" w:sz="1"/>
            </w:tcBorders>
            <w:shd w:fill="2980B9" w:val="clear"/>
            <w:tcMar>
              <w:top w:type="dxa" w:w="80"/>
              <w:left w:type="dxa" w:w="120"/>
              <w:bottom w:type="dxa" w:w="80"/>
              <w:right w:type="dxa" w:w="120"/>
            </w:tcMar>
          </w:tcPr>
          <w:p>
            <w:r>
              <w:rPr>
                <w:rFonts w:ascii="Arial" w:cs="Arial" w:eastAsia="Arial" w:hAnsi="Arial"/>
                <w:b/>
                <w:bCs/>
                <w:sz w:val="18"/>
                <w:szCs w:val="18"/>
              </w:rPr>
              <w:t xml:space="preserve">File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Slow-walk detection beatable at 1.9x/week</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Add cumulative baseline drift metric: if 30-day mean drifted &gt;25% from 90-day mean, flag regardless of weekly variance trigger.</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 hrs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policy.go</w:t>
            </w:r>
          </w:p>
        </w:tc>
      </w:tr>
      <w:tr>
        <w:tc>
          <w:tcPr>
            <w:tcW w:type="dxa" w:w="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M-2</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OSCAL bundle not validated against real SOC2 audit</w:t>
            </w:r>
          </w:p>
        </w:tc>
        <w:tc>
          <w:tcPr>
            <w:tcW w:type="dxa" w:w="3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Validate cmd/oscal-generate output against NIST OSCAL schema validator. Find one SOC2 auditor to review format. Document schema version in output.</w:t>
            </w:r>
          </w:p>
        </w:tc>
        <w:tc>
          <w:tcPr>
            <w:tcW w:type="dxa" w:w="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2 hrs</w:t>
            </w:r>
          </w:p>
        </w:tc>
        <w:tc>
          <w:tcPr>
            <w:tcW w:type="dxa" w:w="26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cmd/oscal-generate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YAML policy hot-reload gap on restart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Add inotify-based YAML watcher (fsnotify). Atomic swap on file change. Log policy reload as audit event. Eliminates restart requirement for threshold changes.</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 hrs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policy.go</w:t>
            </w:r>
          </w:p>
        </w:tc>
      </w:tr>
      <w:tr>
        <w:tc>
          <w:tcPr>
            <w:tcW w:type="dxa" w:w="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M-4</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Docker Compose no resource limits or auto-restart</w:t>
            </w:r>
          </w:p>
        </w:tc>
        <w:tc>
          <w:tcPr>
            <w:tcW w:type="dxa" w:w="3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Add resource limits to docker-compose.yml (scoring-service: 2CPU/4GB, redis: 512MB, postgres: 1CPU/2GB). Add restart: always. Document recovery runbook.</w:t>
            </w:r>
          </w:p>
        </w:tc>
        <w:tc>
          <w:tcPr>
            <w:tcW w:type="dxa" w:w="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1 hr</w:t>
            </w:r>
          </w:p>
        </w:tc>
        <w:tc>
          <w:tcPr>
            <w:tcW w:type="dxa" w:w="26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docker-compose.yml</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ZK-STARK stub not consistently qualified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Audit every external doc for ZK-STARK/SPHINCS+ mentions. Replace all with qualified version. Add grep check to CI: grep -r 'ZK-STARK' docs/ must return only qualified mentions.</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 hr</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docs/ audit</w:t>
            </w:r>
          </w:p>
        </w:tc>
      </w:tr>
      <w:tr>
        <w:tc>
          <w:tcPr>
            <w:tcW w:type="dxa" w:w="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M-6</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Reason object schema — no version field, mutable</w:t>
            </w:r>
          </w:p>
        </w:tc>
        <w:tc>
          <w:tcPr>
            <w:tcW w:type="dxa" w:w="3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Add schema_version: 'v1' to all reason objects. Add NOT NULL to scoring_explanations table. Add schema_version to migration. Breaks on version mismatch = explicit error.</w:t>
            </w:r>
          </w:p>
        </w:tc>
        <w:tc>
          <w:tcPr>
            <w:tcW w:type="dxa" w:w="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2 hrs</w:t>
            </w:r>
          </w:p>
        </w:tc>
        <w:tc>
          <w:tcPr>
            <w:tcW w:type="dxa" w:w="26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explainability.go + migrations/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Go goroutine leak — no lifecycle monitoring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Add goroutine count to Prometheus metrics. Alert if goroutine count &gt; 1000. Add goroutine leak test using goleak in consumer_test.go.</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 hr</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consumer.go + main.go</w:t>
            </w:r>
          </w:p>
        </w:tc>
      </w:tr>
      <w:tr>
        <w:tc>
          <w:tcPr>
            <w:tcW w:type="dxa" w:w="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M-8</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Pen test blockers — must clear before enterprise security review</w:t>
            </w:r>
          </w:p>
        </w:tc>
        <w:tc>
          <w:tcPr>
            <w:tcW w:type="dxa" w:w="3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Collate C-1 through C-7 remediations into docs/enterprise/security-attestation.md update. Run internal pen test against the 5 findings before Lloyd meeting.</w:t>
            </w:r>
          </w:p>
        </w:tc>
        <w:tc>
          <w:tcPr>
            <w:tcW w:type="dxa" w:w="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2 hrs</w:t>
            </w:r>
          </w:p>
        </w:tc>
        <w:tc>
          <w:tcPr>
            <w:tcW w:type="dxa" w:w="26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security-attestation.md</w:t>
            </w:r>
          </w:p>
        </w:tc>
      </w:tr>
    </w:tbl>
    <w:p>
      <w:pPr>
        <w:spacing w:after="80" w:before="80"/>
      </w:pPr>
      <w:r>
        <w:t xml:space="preserve"/>
      </w:r>
    </w:p>
    <w:p>
      <w:pPr>
        <w:spacing w:after="60" w:before="60"/>
      </w:pPr>
      <w:r>
        <w:rPr>
          <w:rFonts w:ascii="Arial" w:cs="Arial" w:eastAsia="Arial" w:hAnsi="Arial"/>
          <w:b/>
          <w:bCs/>
          <w:sz w:val="20"/>
          <w:szCs w:val="20"/>
        </w:rPr>
        <w:t xml:space="preserve">Medium Tier Total: </w:t>
      </w:r>
      <w:r>
        <w:rPr>
          <w:rFonts w:ascii="Arial" w:cs="Arial" w:eastAsia="Arial" w:hAnsi="Arial"/>
          <w:sz w:val="20"/>
          <w:szCs w:val="20"/>
        </w:rPr>
        <w:t xml:space="preserve">~19 hours | 8 items | Complete before pilot advances to enforce mode</w:t>
      </w:r>
    </w:p>
    <w:p>
      <w:pPr>
        <w:spacing w:after="80" w:before="80"/>
      </w:pPr>
      <w:r>
        <w:t xml:space="preserve"/>
      </w:r>
    </w:p>
    <w:p>
      <w:pPr>
        <w:pStyle w:val="Heading2"/>
        <w:spacing w:after="120" w:before="280"/>
      </w:pPr>
      <w:r>
        <w:rPr>
          <w:rFonts w:ascii="Arial" w:cs="Arial" w:eastAsia="Arial" w:hAnsi="Arial"/>
          <w:b/>
          <w:bCs/>
          <w:color w:val="16213E"/>
          <w:sz w:val="26"/>
          <w:szCs w:val="26"/>
        </w:rPr>
        <w:t xml:space="preserve">TIER DEFERRED — Post-LoU / Phase 2</w:t>
      </w:r>
    </w:p>
    <w:p>
      <w:pPr>
        <w:spacing w:after="60" w:before="60"/>
      </w:pPr>
      <w:r>
        <w:rPr>
          <w:rFonts w:ascii="Arial" w:cs="Arial" w:eastAsia="Arial" w:hAnsi="Arial"/>
          <w:b/>
          <w:bCs/>
          <w:sz w:val="20"/>
          <w:szCs w:val="20"/>
        </w:rPr>
        <w:t xml:space="preserve">Do not touch before LoU is signed. </w:t>
      </w:r>
      <w:r>
        <w:rPr>
          <w:rFonts w:ascii="Arial" w:cs="Arial" w:eastAsia="Arial" w:hAnsi="Arial"/>
          <w:sz w:val="20"/>
          <w:szCs w:val="20"/>
        </w:rPr>
        <w:t xml:space="preserve">Building these early is the Omega-1 commercial avoidance pattern in engineering form.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3400"/>
        <w:gridCol w:w="600"/>
        <w:gridCol w:w="2660"/>
      </w:tblGrid>
      <w:tr>
        <w:tc>
          <w:tcPr>
            <w:tcW w:type="dxa" w:w="500"/>
            <w:tcBorders>
              <w:top w:val="single" w:color="CCCCCC" w:sz="1"/>
              <w:left w:val="single" w:color="CCCCCC" w:sz="1"/>
              <w:bottom w:val="single" w:color="CCCCCC" w:sz="1"/>
              <w:right w:val="single" w:color="CCCCCC" w:sz="1"/>
            </w:tcBorders>
            <w:shd w:fill="5D6D7E" w:val="clear"/>
            <w:tcMar>
              <w:top w:type="dxa" w:w="80"/>
              <w:left w:type="dxa" w:w="120"/>
              <w:bottom w:type="dxa" w:w="80"/>
              <w:right w:type="dxa" w:w="120"/>
            </w:tcMar>
          </w:tcPr>
          <w:p>
            <w:r>
              <w:rPr>
                <w:rFonts w:ascii="Arial" w:cs="Arial" w:eastAsia="Arial" w:hAnsi="Arial"/>
                <w:b/>
                <w:bCs/>
                <w:sz w:val="18"/>
                <w:szCs w:val="18"/>
              </w:rPr>
              <w:t xml:space="preserve">ID</w:t>
            </w:r>
          </w:p>
        </w:tc>
        <w:tc>
          <w:tcPr>
            <w:tcW w:type="dxa" w:w="2200"/>
            <w:tcBorders>
              <w:top w:val="single" w:color="CCCCCC" w:sz="1"/>
              <w:left w:val="single" w:color="CCCCCC" w:sz="1"/>
              <w:bottom w:val="single" w:color="CCCCCC" w:sz="1"/>
              <w:right w:val="single" w:color="CCCCCC" w:sz="1"/>
            </w:tcBorders>
            <w:shd w:fill="5D6D7E" w:val="clear"/>
            <w:tcMar>
              <w:top w:type="dxa" w:w="80"/>
              <w:left w:type="dxa" w:w="120"/>
              <w:bottom w:type="dxa" w:w="80"/>
              <w:right w:type="dxa" w:w="120"/>
            </w:tcMar>
          </w:tcPr>
          <w:p>
            <w:r>
              <w:rPr>
                <w:rFonts w:ascii="Arial" w:cs="Arial" w:eastAsia="Arial" w:hAnsi="Arial"/>
                <w:b/>
                <w:bCs/>
                <w:sz w:val="18"/>
                <w:szCs w:val="18"/>
              </w:rPr>
              <w:t xml:space="preserve">Failure</w:t>
            </w:r>
          </w:p>
        </w:tc>
        <w:tc>
          <w:tcPr>
            <w:tcW w:type="dxa" w:w="3400"/>
            <w:tcBorders>
              <w:top w:val="single" w:color="CCCCCC" w:sz="1"/>
              <w:left w:val="single" w:color="CCCCCC" w:sz="1"/>
              <w:bottom w:val="single" w:color="CCCCCC" w:sz="1"/>
              <w:right w:val="single" w:color="CCCCCC" w:sz="1"/>
            </w:tcBorders>
            <w:shd w:fill="5D6D7E" w:val="clear"/>
            <w:tcMar>
              <w:top w:type="dxa" w:w="80"/>
              <w:left w:type="dxa" w:w="120"/>
              <w:bottom w:type="dxa" w:w="80"/>
              <w:right w:type="dxa" w:w="120"/>
            </w:tcMar>
          </w:tcPr>
          <w:p>
            <w:r>
              <w:rPr>
                <w:rFonts w:ascii="Arial" w:cs="Arial" w:eastAsia="Arial" w:hAnsi="Arial"/>
                <w:b/>
                <w:bCs/>
                <w:sz w:val="18"/>
                <w:szCs w:val="18"/>
              </w:rPr>
              <w:t xml:space="preserve">Remediation</w:t>
            </w:r>
          </w:p>
        </w:tc>
        <w:tc>
          <w:tcPr>
            <w:tcW w:type="dxa" w:w="600"/>
            <w:tcBorders>
              <w:top w:val="single" w:color="CCCCCC" w:sz="1"/>
              <w:left w:val="single" w:color="CCCCCC" w:sz="1"/>
              <w:bottom w:val="single" w:color="CCCCCC" w:sz="1"/>
              <w:right w:val="single" w:color="CCCCCC" w:sz="1"/>
            </w:tcBorders>
            <w:shd w:fill="5D6D7E" w:val="clear"/>
            <w:tcMar>
              <w:top w:type="dxa" w:w="80"/>
              <w:left w:type="dxa" w:w="120"/>
              <w:bottom w:type="dxa" w:w="80"/>
              <w:right w:type="dxa" w:w="120"/>
            </w:tcMar>
          </w:tcPr>
          <w:p>
            <w:r>
              <w:rPr>
                <w:rFonts w:ascii="Arial" w:cs="Arial" w:eastAsia="Arial" w:hAnsi="Arial"/>
                <w:b/>
                <w:bCs/>
                <w:sz w:val="18"/>
                <w:szCs w:val="18"/>
              </w:rPr>
              <w:t xml:space="preserve">Effort</w:t>
            </w:r>
          </w:p>
        </w:tc>
        <w:tc>
          <w:tcPr>
            <w:tcW w:type="dxa" w:w="2660"/>
            <w:tcBorders>
              <w:top w:val="single" w:color="CCCCCC" w:sz="1"/>
              <w:left w:val="single" w:color="CCCCCC" w:sz="1"/>
              <w:bottom w:val="single" w:color="CCCCCC" w:sz="1"/>
              <w:right w:val="single" w:color="CCCCCC" w:sz="1"/>
            </w:tcBorders>
            <w:shd w:fill="5D6D7E" w:val="clear"/>
            <w:tcMar>
              <w:top w:type="dxa" w:w="80"/>
              <w:left w:type="dxa" w:w="120"/>
              <w:bottom w:type="dxa" w:w="80"/>
              <w:right w:type="dxa" w:w="120"/>
            </w:tcMar>
          </w:tcPr>
          <w:p>
            <w:r>
              <w:rPr>
                <w:rFonts w:ascii="Arial" w:cs="Arial" w:eastAsia="Arial" w:hAnsi="Arial"/>
                <w:b/>
                <w:bCs/>
                <w:sz w:val="18"/>
                <w:szCs w:val="18"/>
              </w:rPr>
              <w:t xml:space="preserve">File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Multi-agent coordinated attack detection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Phase 2 M5-STEP-2. Do not imply this is Phase 1 capability in any document.</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Phase 2</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scoring/policy.go</w:t>
            </w:r>
          </w:p>
        </w:tc>
      </w:tr>
      <w:tr>
        <w:tc>
          <w:tcPr>
            <w:tcW w:type="dxa" w:w="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D-2</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Isolation Forest behavioral model</w:t>
            </w:r>
          </w:p>
        </w:tc>
        <w:tc>
          <w:tcPr>
            <w:tcW w:type="dxa" w:w="3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Phase 2 after 90 days production data. Do not build before data exists.</w:t>
            </w:r>
          </w:p>
        </w:tc>
        <w:tc>
          <w:tcPr>
            <w:tcW w:type="dxa" w:w="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Phase 2</w:t>
            </w:r>
          </w:p>
        </w:tc>
        <w:tc>
          <w:tcPr>
            <w:tcW w:type="dxa" w:w="26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scoring/scorer.go</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Redis cluster / HA mode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Phase 2 after single-node proven at scale. Do not add ops complexity before pilot.</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Phase 2</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infrastructure/</w:t>
            </w:r>
          </w:p>
        </w:tc>
      </w:tr>
      <w:tr>
        <w:tc>
          <w:tcPr>
            <w:tcW w:type="dxa" w:w="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D-4</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FP corpus expansion 150→300 scenarios</w:t>
            </w:r>
          </w:p>
        </w:tc>
        <w:tc>
          <w:tcPr>
            <w:tcW w:type="dxa" w:w="3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After Lloyd LoU. Current 150 sufficient for pilot entry.</w:t>
            </w:r>
          </w:p>
        </w:tc>
        <w:tc>
          <w:tcPr>
            <w:tcW w:type="dxa" w:w="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Post-LoU</w:t>
            </w:r>
          </w:p>
        </w:tc>
        <w:tc>
          <w:tcPr>
            <w:tcW w:type="dxa" w:w="26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tests/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Splunk Add-on formal spec</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After SIEM webhook proven in production (M-5 complete first).</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Post-LoU</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docs/integrations/</w:t>
            </w:r>
          </w:p>
        </w:tc>
      </w:tr>
      <w:tr>
        <w:tc>
          <w:tcPr>
            <w:tcW w:type="dxa" w:w="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D-6</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Agent Behavioral Passport full design</w:t>
            </w:r>
          </w:p>
        </w:tc>
        <w:tc>
          <w:tcPr>
            <w:tcW w:type="dxa" w:w="3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Phase 2, after one deployed enterprise. Do not scope into pilot.</w:t>
            </w:r>
          </w:p>
        </w:tc>
        <w:tc>
          <w:tcPr>
            <w:tcW w:type="dxa" w:w="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Phase 2</w:t>
            </w:r>
          </w:p>
        </w:tc>
        <w:tc>
          <w:tcPr>
            <w:tcW w:type="dxa" w:w="26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internal/trust/passport.go</w:t>
            </w:r>
          </w:p>
        </w:tc>
      </w:tr>
    </w:tbl>
    <w:p>
      <w:pPr>
        <w:spacing w:after="80" w:before="80"/>
      </w:pPr>
      <w:r>
        <w:t xml:space="preserve"/>
      </w:r>
    </w:p>
    <w:p>
      <w:pPr>
        <w:pBdr>
          <w:bottom w:val="single" w:color="2E4057" w:sz="4" w:space="1"/>
        </w:pBdr>
        <w:spacing w:after="120" w:before="120"/>
      </w:pPr>
      <w:r>
        <w:t xml:space="preserve"/>
      </w:r>
    </w:p>
    <w:p>
      <w:r>
        <w:br w:type="page"/>
      </w:r>
    </w:p>
    <w:p>
      <w:pPr>
        <w:pStyle w:val="Heading1"/>
        <w:spacing w:after="180" w:before="360"/>
      </w:pPr>
      <w:r>
        <w:rPr>
          <w:rFonts w:ascii="Arial" w:cs="Arial" w:eastAsia="Arial" w:hAnsi="Arial"/>
          <w:b/>
          <w:bCs/>
          <w:color w:val="1A1A2E"/>
          <w:sz w:val="32"/>
          <w:szCs w:val="32"/>
        </w:rPr>
        <w:t xml:space="preserve">PART 3 — 15-DAY SPRINT TO LLOYD</w:t>
      </w:r>
    </w:p>
    <w:p>
      <w:pPr>
        <w:spacing w:after="80" w:before="80"/>
      </w:pPr>
      <w:r>
        <w:t xml:space="preserve"/>
      </w:r>
    </w:p>
    <w:p>
      <w:pPr>
        <w:spacing w:after="60" w:before="60"/>
      </w:pPr>
      <w:r>
        <w:rPr>
          <w:rFonts w:ascii="Arial" w:cs="Arial" w:eastAsia="Arial" w:hAnsi="Arial"/>
          <w:sz w:val="20"/>
          <w:szCs w:val="20"/>
        </w:rPr>
        <w:t xml:space="preserve">15 days remain before April 28. The 18 hours of Critical tier work must complete by April 25. Commercial actions run in parallel — not after. This is not optional.</w:t>
      </w:r>
    </w:p>
    <w:p>
      <w:pPr>
        <w:spacing w:after="80" w:before="80"/>
      </w:pPr>
      <w:r>
        <w:t xml:space="preserve"/>
      </w:r>
    </w:p>
    <w:p>
      <w:pPr>
        <w:pStyle w:val="Heading2"/>
        <w:spacing w:after="120" w:before="280"/>
      </w:pPr>
      <w:r>
        <w:rPr>
          <w:rFonts w:ascii="Arial" w:cs="Arial" w:eastAsia="Arial" w:hAnsi="Arial"/>
          <w:b/>
          <w:bCs/>
          <w:color w:val="16213E"/>
          <w:sz w:val="26"/>
          <w:szCs w:val="26"/>
        </w:rPr>
        <w:t xml:space="preserve">Week 1: April 13–18 (Engineering Sprint)</w:t>
      </w:r>
    </w:p>
    <w:p>
      <w:pPr>
        <w:pStyle w:val="ListParagraph"/>
        <w:numPr>
          <w:ilvl w:val="0"/>
          <w:numId w:val="3"/>
        </w:numPr>
        <w:spacing w:after="40" w:before="40"/>
      </w:pPr>
      <w:r>
        <w:rPr>
          <w:rFonts w:ascii="Arial" w:cs="Arial" w:eastAsia="Arial" w:hAnsi="Arial"/>
          <w:sz w:val="20"/>
          <w:szCs w:val="20"/>
        </w:rPr>
        <w:t xml:space="preserve">C-5: Authenticate /score endpoint — 2 hrs — closes the information disclosure vulnerability immediately</w:t>
      </w:r>
    </w:p>
    <w:p>
      <w:pPr>
        <w:pStyle w:val="ListParagraph"/>
        <w:numPr>
          <w:ilvl w:val="0"/>
          <w:numId w:val="3"/>
        </w:numPr>
        <w:spacing w:after="40" w:before="40"/>
      </w:pPr>
      <w:r>
        <w:rPr>
          <w:rFonts w:ascii="Arial" w:cs="Arial" w:eastAsia="Arial" w:hAnsi="Arial"/>
          <w:sz w:val="20"/>
          <w:szCs w:val="20"/>
        </w:rPr>
        <w:t xml:space="preserve">C-6: Add NOT NULL to feature vectors in migration — 1 hr — prevents unrecoverable training data loss from day 1</w:t>
      </w:r>
    </w:p>
    <w:p>
      <w:pPr>
        <w:pStyle w:val="ListParagraph"/>
        <w:numPr>
          <w:ilvl w:val="0"/>
          <w:numId w:val="3"/>
        </w:numPr>
        <w:spacing w:after="40" w:before="40"/>
      </w:pPr>
      <w:r>
        <w:rPr>
          <w:rFonts w:ascii="Arial" w:cs="Arial" w:eastAsia="Arial" w:hAnsi="Arial"/>
          <w:sz w:val="20"/>
          <w:szCs w:val="20"/>
        </w:rPr>
        <w:t xml:space="preserve">C-2: Welford concurrent race fix (Redis MULTI/EXEC) — 3 hrs — closes the baseline corruption vector</w:t>
      </w:r>
    </w:p>
    <w:p>
      <w:pPr>
        <w:pStyle w:val="ListParagraph"/>
        <w:numPr>
          <w:ilvl w:val="0"/>
          <w:numId w:val="3"/>
        </w:numPr>
        <w:spacing w:after="40" w:before="40"/>
      </w:pPr>
      <w:r>
        <w:rPr>
          <w:rFonts w:ascii="Arial" w:cs="Arial" w:eastAsia="Arial" w:hAnsi="Arial"/>
          <w:sz w:val="20"/>
          <w:szCs w:val="20"/>
        </w:rPr>
        <w:t xml:space="preserve">C-1: Cold-start bootstrap protocol — 2 hrs — prevents div/zero on first agent event in pilot</w:t>
      </w:r>
    </w:p>
    <w:p>
      <w:pPr>
        <w:pStyle w:val="ListParagraph"/>
        <w:numPr>
          <w:ilvl w:val="0"/>
          <w:numId w:val="3"/>
        </w:numPr>
        <w:spacing w:after="40" w:before="40"/>
      </w:pPr>
      <w:r>
        <w:rPr>
          <w:rFonts w:ascii="Arial" w:cs="Arial" w:eastAsia="Arial" w:hAnsi="Arial"/>
          <w:sz w:val="20"/>
          <w:szCs w:val="20"/>
        </w:rPr>
        <w:t xml:space="preserve">C-3: Redis memory alert + write return code checks — 2 hrs — makes OOM visible before it silently corrupts enforcement</w:t>
      </w:r>
    </w:p>
    <w:p>
      <w:pPr>
        <w:pStyle w:val="ListParagraph"/>
        <w:numPr>
          <w:ilvl w:val="0"/>
          <w:numId w:val="3"/>
        </w:numPr>
        <w:spacing w:after="40" w:before="40"/>
      </w:pPr>
      <w:r>
        <w:rPr>
          <w:rFonts w:ascii="Arial" w:cs="Arial" w:eastAsia="Arial" w:hAnsi="Arial"/>
          <w:sz w:val="20"/>
          <w:szCs w:val="20"/>
        </w:rPr>
        <w:t xml:space="preserve">C-8: Seal held-out evaluation set — 1 hr — makes the FP/TP claims defensible under external scrutiny</w:t>
      </w:r>
    </w:p>
    <w:p>
      <w:pPr>
        <w:spacing w:after="80" w:before="80"/>
      </w:pPr>
      <w:r>
        <w:t xml:space="preserve"/>
      </w:r>
    </w:p>
    <w:p>
      <w:pPr>
        <w:spacing w:after="60" w:before="60"/>
      </w:pPr>
      <w:r>
        <w:rPr>
          <w:rFonts w:ascii="Arial" w:cs="Arial" w:eastAsia="Arial" w:hAnsi="Arial"/>
          <w:b/>
          <w:bCs/>
          <w:sz w:val="20"/>
          <w:szCs w:val="20"/>
        </w:rPr>
        <w:t xml:space="preserve">Week 1 output: </w:t>
      </w:r>
      <w:r>
        <w:rPr>
          <w:rFonts w:ascii="Arial" w:cs="Arial" w:eastAsia="Arial" w:hAnsi="Arial"/>
          <w:sz w:val="20"/>
          <w:szCs w:val="20"/>
        </w:rPr>
        <w:t xml:space="preserve">6 Critical items closed, 11 hours spent. Pen test can now clear the top 3 blockers.</w:t>
      </w:r>
    </w:p>
    <w:p>
      <w:pPr>
        <w:spacing w:after="80" w:before="80"/>
      </w:pPr>
      <w:r>
        <w:t xml:space="preserve"/>
      </w:r>
    </w:p>
    <w:p>
      <w:pPr>
        <w:pStyle w:val="Heading2"/>
        <w:spacing w:after="120" w:before="280"/>
      </w:pPr>
      <w:r>
        <w:rPr>
          <w:rFonts w:ascii="Arial" w:cs="Arial" w:eastAsia="Arial" w:hAnsi="Arial"/>
          <w:b/>
          <w:bCs/>
          <w:color w:val="16213E"/>
          <w:sz w:val="26"/>
          <w:szCs w:val="26"/>
        </w:rPr>
        <w:t xml:space="preserve">Week 2: April 19–25 (Hardening + Meeting Prep)</w:t>
      </w:r>
    </w:p>
    <w:p>
      <w:pPr>
        <w:pStyle w:val="ListParagraph"/>
        <w:numPr>
          <w:ilvl w:val="0"/>
          <w:numId w:val="3"/>
        </w:numPr>
        <w:spacing w:after="40" w:before="40"/>
      </w:pPr>
      <w:r>
        <w:rPr>
          <w:rFonts w:ascii="Arial" w:cs="Arial" w:eastAsia="Arial" w:hAnsi="Arial"/>
          <w:sz w:val="20"/>
          <w:szCs w:val="20"/>
        </w:rPr>
        <w:t xml:space="preserve">C-4: Kong circuit breaker + unverified-identity logging — 3 hrs — closes the exploit pathway</w:t>
      </w:r>
    </w:p>
    <w:p>
      <w:pPr>
        <w:pStyle w:val="ListParagraph"/>
        <w:numPr>
          <w:ilvl w:val="0"/>
          <w:numId w:val="3"/>
        </w:numPr>
        <w:spacing w:after="40" w:before="40"/>
      </w:pPr>
      <w:r>
        <w:rPr>
          <w:rFonts w:ascii="Arial" w:cs="Arial" w:eastAsia="Arial" w:hAnsi="Arial"/>
          <w:sz w:val="20"/>
          <w:szCs w:val="20"/>
        </w:rPr>
        <w:t xml:space="preserve">C-7: jti TTL alignment + restart recovery — 2 hrs — closes the key history replay window</w:t>
      </w:r>
    </w:p>
    <w:p>
      <w:pPr>
        <w:pStyle w:val="ListParagraph"/>
        <w:numPr>
          <w:ilvl w:val="0"/>
          <w:numId w:val="3"/>
        </w:numPr>
        <w:spacing w:after="40" w:before="40"/>
      </w:pPr>
      <w:r>
        <w:rPr>
          <w:rFonts w:ascii="Arial" w:cs="Arial" w:eastAsia="Arial" w:hAnsi="Arial"/>
          <w:sz w:val="20"/>
          <w:szCs w:val="20"/>
        </w:rPr>
        <w:t xml:space="preserve">TW-1: Lloyd meeting prep document (14 talking points) — 60 min</w:t>
      </w:r>
    </w:p>
    <w:p>
      <w:pPr>
        <w:pStyle w:val="ListParagraph"/>
        <w:numPr>
          <w:ilvl w:val="0"/>
          <w:numId w:val="3"/>
        </w:numPr>
        <w:spacing w:after="40" w:before="40"/>
      </w:pPr>
      <w:r>
        <w:rPr>
          <w:rFonts w:ascii="Arial" w:cs="Arial" w:eastAsia="Arial" w:hAnsi="Arial"/>
          <w:sz w:val="20"/>
          <w:szCs w:val="20"/>
        </w:rPr>
        <w:t xml:space="preserve">TW-REHEARSAL: Say C1–C14 aloud — 20 min — non-skippable cognitive preparation</w:t>
      </w:r>
    </w:p>
    <w:p>
      <w:pPr>
        <w:pStyle w:val="ListParagraph"/>
        <w:numPr>
          <w:ilvl w:val="0"/>
          <w:numId w:val="3"/>
        </w:numPr>
        <w:spacing w:after="40" w:before="40"/>
      </w:pPr>
      <w:r>
        <w:rPr>
          <w:rFonts w:ascii="Arial" w:cs="Arial" w:eastAsia="Arial" w:hAnsi="Arial"/>
          <w:sz w:val="20"/>
          <w:szCs w:val="20"/>
        </w:rPr>
        <w:t xml:space="preserve">M-8: Update security-attestation.md with all 8 Critical remediations — 2 hrs</w:t>
      </w:r>
    </w:p>
    <w:p>
      <w:pPr>
        <w:pStyle w:val="ListParagraph"/>
        <w:numPr>
          <w:ilvl w:val="0"/>
          <w:numId w:val="3"/>
        </w:numPr>
        <w:spacing w:after="40" w:before="40"/>
      </w:pPr>
      <w:r>
        <w:rPr>
          <w:rFonts w:ascii="Arial" w:cs="Arial" w:eastAsia="Arial" w:hAnsi="Arial"/>
          <w:sz w:val="20"/>
          <w:szCs w:val="20"/>
        </w:rPr>
        <w:t xml:space="preserve">M-5: Audit and qualify all ZK-STARK/SPHINCS+ mentions in docs — 1 hr</w:t>
      </w:r>
    </w:p>
    <w:p>
      <w:pPr>
        <w:pStyle w:val="ListParagraph"/>
        <w:numPr>
          <w:ilvl w:val="0"/>
          <w:numId w:val="3"/>
        </w:numPr>
        <w:spacing w:after="40" w:before="40"/>
      </w:pPr>
      <w:r>
        <w:rPr>
          <w:rFonts w:ascii="Arial" w:cs="Arial" w:eastAsia="Arial" w:hAnsi="Arial"/>
          <w:sz w:val="20"/>
          <w:szCs w:val="20"/>
        </w:rPr>
        <w:t xml:space="preserve">TW-9: Evaluation harness methodology document — 60 min</w:t>
      </w:r>
    </w:p>
    <w:p>
      <w:pPr>
        <w:spacing w:after="80" w:before="80"/>
      </w:pPr>
      <w:r>
        <w:t xml:space="preserve"/>
      </w:r>
    </w:p>
    <w:p>
      <w:pPr>
        <w:spacing w:after="60" w:before="60"/>
      </w:pPr>
      <w:r>
        <w:rPr>
          <w:rFonts w:ascii="Arial" w:cs="Arial" w:eastAsia="Arial" w:hAnsi="Arial"/>
          <w:b/>
          <w:bCs/>
          <w:sz w:val="20"/>
          <w:szCs w:val="20"/>
        </w:rPr>
        <w:t xml:space="preserve">Week 2 output: </w:t>
      </w:r>
      <w:r>
        <w:rPr>
          <w:rFonts w:ascii="Arial" w:cs="Arial" w:eastAsia="Arial" w:hAnsi="Arial"/>
          <w:sz w:val="20"/>
          <w:szCs w:val="20"/>
        </w:rPr>
        <w:t xml:space="preserve">All 8 Critical items closed. Lloyd meeting materials ready. Security attestation updated.</w:t>
      </w:r>
    </w:p>
    <w:p>
      <w:pPr>
        <w:spacing w:after="80" w:before="80"/>
      </w:pPr>
      <w:r>
        <w:t xml:space="preserve"/>
      </w:r>
    </w:p>
    <w:p>
      <w:pPr>
        <w:pStyle w:val="Heading2"/>
        <w:spacing w:after="120" w:before="280"/>
      </w:pPr>
      <w:r>
        <w:rPr>
          <w:rFonts w:ascii="Arial" w:cs="Arial" w:eastAsia="Arial" w:hAnsi="Arial"/>
          <w:b/>
          <w:bCs/>
          <w:color w:val="16213E"/>
          <w:sz w:val="26"/>
          <w:szCs w:val="26"/>
        </w:rPr>
        <w:t xml:space="preserve">April 26–27: Final Check</w:t>
      </w:r>
    </w:p>
    <w:p>
      <w:pPr>
        <w:pStyle w:val="ListParagraph"/>
        <w:numPr>
          <w:ilvl w:val="0"/>
          <w:numId w:val="3"/>
        </w:numPr>
        <w:spacing w:after="40" w:before="40"/>
      </w:pPr>
      <w:r>
        <w:rPr>
          <w:rFonts w:ascii="Arial" w:cs="Arial" w:eastAsia="Arial" w:hAnsi="Arial"/>
          <w:sz w:val="20"/>
          <w:szCs w:val="20"/>
        </w:rPr>
        <w:t xml:space="preserve">Run demo.sh — must pass end-to-end</w:t>
      </w:r>
    </w:p>
    <w:p>
      <w:pPr>
        <w:pStyle w:val="ListParagraph"/>
        <w:numPr>
          <w:ilvl w:val="0"/>
          <w:numId w:val="3"/>
        </w:numPr>
        <w:spacing w:after="40" w:before="40"/>
      </w:pPr>
      <w:r>
        <w:rPr>
          <w:rFonts w:ascii="Arial" w:cs="Arial" w:eastAsia="Arial" w:hAnsi="Arial"/>
          <w:sz w:val="20"/>
          <w:szCs w:val="20"/>
        </w:rPr>
        <w:t xml:space="preserve">Run go test ./... — must be all green</w:t>
      </w:r>
    </w:p>
    <w:p>
      <w:pPr>
        <w:pStyle w:val="ListParagraph"/>
        <w:numPr>
          <w:ilvl w:val="0"/>
          <w:numId w:val="3"/>
        </w:numPr>
        <w:spacing w:after="40" w:before="40"/>
      </w:pPr>
      <w:r>
        <w:rPr>
          <w:rFonts w:ascii="Arial" w:cs="Arial" w:eastAsia="Arial" w:hAnsi="Arial"/>
          <w:sz w:val="20"/>
          <w:szCs w:val="20"/>
        </w:rPr>
        <w:t xml:space="preserve">Verify /score endpoint rejects unauthenticated requests</w:t>
      </w:r>
    </w:p>
    <w:p>
      <w:pPr>
        <w:pStyle w:val="ListParagraph"/>
        <w:numPr>
          <w:ilvl w:val="0"/>
          <w:numId w:val="3"/>
        </w:numPr>
        <w:spacing w:after="40" w:before="40"/>
      </w:pPr>
      <w:r>
        <w:rPr>
          <w:rFonts w:ascii="Arial" w:cs="Arial" w:eastAsia="Arial" w:hAnsi="Arial"/>
          <w:sz w:val="20"/>
          <w:szCs w:val="20"/>
        </w:rPr>
        <w:t xml:space="preserve">Verify Redis memory alert fires at 80%</w:t>
      </w:r>
    </w:p>
    <w:p>
      <w:pPr>
        <w:pStyle w:val="ListParagraph"/>
        <w:numPr>
          <w:ilvl w:val="0"/>
          <w:numId w:val="3"/>
        </w:numPr>
        <w:spacing w:after="40" w:before="40"/>
      </w:pPr>
      <w:r>
        <w:rPr>
          <w:rFonts w:ascii="Arial" w:cs="Arial" w:eastAsia="Arial" w:hAnsi="Arial"/>
          <w:sz w:val="20"/>
          <w:szCs w:val="20"/>
        </w:rPr>
        <w:t xml:space="preserve">Confirm Lloyd meeting logistics, exact time, participants</w:t>
      </w:r>
    </w:p>
    <w:p>
      <w:pPr>
        <w:spacing w:after="80" w:before="80"/>
      </w:pPr>
      <w:r>
        <w:t xml:space="preserve"/>
      </w:r>
    </w:p>
    <w:p>
      <w:pPr>
        <w:pBdr>
          <w:bottom w:val="single" w:color="2E4057" w:sz="4" w:space="1"/>
        </w:pBdr>
        <w:spacing w:after="120" w:before="120"/>
      </w:pPr>
      <w:r>
        <w:t xml:space="preserve"/>
      </w:r>
    </w:p>
    <w:p>
      <w:r>
        <w:br w:type="page"/>
      </w:r>
    </w:p>
    <w:p>
      <w:pPr>
        <w:pStyle w:val="Heading1"/>
        <w:spacing w:after="180" w:before="360"/>
      </w:pPr>
      <w:r>
        <w:rPr>
          <w:rFonts w:ascii="Arial" w:cs="Arial" w:eastAsia="Arial" w:hAnsi="Arial"/>
          <w:b/>
          <w:bCs/>
          <w:color w:val="1A1A2E"/>
          <w:sz w:val="32"/>
          <w:szCs w:val="32"/>
        </w:rPr>
        <w:t xml:space="preserve">PART 4 — RISK SUMMARY DASHBOARD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1500"/>
        <w:gridCol w:w="1860"/>
      </w:tblGrid>
      <w:t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sz w:val="18"/>
                <w:szCs w:val="18"/>
              </w:rPr>
              <w:t xml:space="preserve">Category</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sz w:val="18"/>
                <w:szCs w:val="18"/>
              </w:rPr>
              <w:t xml:space="preserve">Count</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sz w:val="18"/>
                <w:szCs w:val="18"/>
              </w:rPr>
              <w:t xml:space="preserve">Effort (hrs)</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sz w:val="18"/>
                <w:szCs w:val="18"/>
              </w:rPr>
              <w:t xml:space="preserve">Deadline</w:t>
            </w:r>
          </w:p>
        </w:tc>
        <w:tc>
          <w:tcPr>
            <w:tcW w:type="dxa" w:w="18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sz w:val="18"/>
                <w:szCs w:val="18"/>
              </w:rPr>
              <w:t xml:space="preserve">Status</w:t>
            </w:r>
          </w:p>
        </w:tc>
      </w:tr>
      <w:tr>
        <w:tc>
          <w:tcPr>
            <w:tcW w:type="dxa" w:w="30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val="false"/>
                <w:bCs w:val="false"/>
                <w:sz w:val="18"/>
                <w:szCs w:val="18"/>
              </w:rPr>
              <w:t xml:space="preserve">CRITICAL — Pilot blocker if unresolved</w:t>
            </w:r>
          </w:p>
        </w:tc>
        <w:tc>
          <w:tcPr>
            <w:tcW w:type="dxa" w:w="15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val="false"/>
                <w:bCs w:val="false"/>
                <w:sz w:val="18"/>
                <w:szCs w:val="18"/>
              </w:rPr>
              <w:t xml:space="preserve">8</w:t>
            </w:r>
          </w:p>
        </w:tc>
        <w:tc>
          <w:tcPr>
            <w:tcW w:type="dxa" w:w="15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val="false"/>
                <w:bCs w:val="false"/>
                <w:sz w:val="18"/>
                <w:szCs w:val="18"/>
              </w:rPr>
              <w:t xml:space="preserve">~18</w:t>
            </w:r>
          </w:p>
        </w:tc>
        <w:tc>
          <w:tcPr>
            <w:tcW w:type="dxa" w:w="15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val="false"/>
                <w:bCs w:val="false"/>
                <w:sz w:val="18"/>
                <w:szCs w:val="18"/>
              </w:rPr>
              <w:t xml:space="preserve">April 25</w:t>
            </w:r>
          </w:p>
        </w:tc>
        <w:tc>
          <w:tcPr>
            <w:tcW w:type="dxa" w:w="186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val="false"/>
                <w:bCs w:val="false"/>
                <w:sz w:val="18"/>
                <w:szCs w:val="18"/>
              </w:rPr>
              <w:t xml:space="preserve">⬜ 0/8 done</w:t>
            </w:r>
          </w:p>
        </w:tc>
      </w:tr>
      <w:tr>
        <w:tc>
          <w:tcPr>
            <w:tcW w:type="dxa" w:w="3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val="false"/>
                <w:bCs w:val="false"/>
                <w:sz w:val="18"/>
                <w:szCs w:val="18"/>
              </w:rPr>
              <w:t xml:space="preserve">HIGH — First 30-day pilot failure</w:t>
            </w:r>
          </w:p>
        </w:tc>
        <w:tc>
          <w:tcPr>
            <w:tcW w:type="dxa" w:w="15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val="false"/>
                <w:bCs w:val="false"/>
                <w:sz w:val="18"/>
                <w:szCs w:val="18"/>
              </w:rPr>
              <w:t xml:space="preserve">10</w:t>
            </w:r>
          </w:p>
        </w:tc>
        <w:tc>
          <w:tcPr>
            <w:tcW w:type="dxa" w:w="15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val="false"/>
                <w:bCs w:val="false"/>
                <w:sz w:val="18"/>
                <w:szCs w:val="18"/>
              </w:rPr>
              <w:t xml:space="preserve">~33</w:t>
            </w:r>
          </w:p>
        </w:tc>
        <w:tc>
          <w:tcPr>
            <w:tcW w:type="dxa" w:w="15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val="false"/>
                <w:bCs w:val="false"/>
                <w:sz w:val="18"/>
                <w:szCs w:val="18"/>
              </w:rPr>
              <w:t xml:space="preserve">+2wks post-LoU</w:t>
            </w:r>
          </w:p>
        </w:tc>
        <w:tc>
          <w:tcPr>
            <w:tcW w:type="dxa" w:w="18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val="false"/>
                <w:bCs w:val="false"/>
                <w:sz w:val="18"/>
                <w:szCs w:val="18"/>
              </w:rPr>
              <w:t xml:space="preserve">⬜ 0/10 done</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18"/>
                <w:szCs w:val="18"/>
              </w:rPr>
              <w:t xml:space="preserve">MEDIUM — Observe window erosion</w:t>
            </w:r>
          </w:p>
        </w:tc>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18"/>
                <w:szCs w:val="18"/>
              </w:rPr>
              <w:t xml:space="preserve">8</w:t>
            </w:r>
          </w:p>
        </w:tc>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18"/>
                <w:szCs w:val="18"/>
              </w:rPr>
              <w:t xml:space="preserve">~19</w:t>
            </w:r>
          </w:p>
        </w:tc>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18"/>
                <w:szCs w:val="18"/>
              </w:rPr>
              <w:t xml:space="preserve">Before enforce mode</w:t>
            </w:r>
          </w:p>
        </w:tc>
        <w:tc>
          <w:tcPr>
            <w:tcW w:type="dxa" w:w="1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18"/>
                <w:szCs w:val="18"/>
              </w:rPr>
              <w:t xml:space="preserve">⬜ 0/8 done</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18"/>
                <w:szCs w:val="18"/>
              </w:rPr>
              <w:t xml:space="preserve">DEFERRED — Post-LoU / Phase 2</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18"/>
                <w:szCs w:val="18"/>
              </w:rPr>
              <w:t xml:space="preserve">6</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18"/>
                <w:szCs w:val="18"/>
              </w:rPr>
              <w:t xml:space="preserve">Phase 2</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18"/>
                <w:szCs w:val="18"/>
              </w:rPr>
              <w:t xml:space="preserve">After LoU signed</w:t>
            </w:r>
          </w:p>
        </w:tc>
        <w:tc>
          <w:tcPr>
            <w:tcW w:type="dxa" w:w="1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18"/>
                <w:szCs w:val="18"/>
              </w:rPr>
              <w:t xml:space="preserve">🔒 Gated</w:t>
            </w:r>
          </w:p>
        </w:tc>
      </w:tr>
      <w:tr>
        <w:tc>
          <w:tcPr>
            <w:tcW w:type="dxa" w:w="30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b/>
                <w:bCs/>
                <w:sz w:val="18"/>
                <w:szCs w:val="18"/>
              </w:rPr>
              <w:t xml:space="preserve">TOTAL (Critical + High + Medium)</w:t>
            </w:r>
          </w:p>
        </w:tc>
        <w:tc>
          <w:tcPr>
            <w:tcW w:type="dxa" w:w="15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b/>
                <w:bCs/>
                <w:sz w:val="18"/>
                <w:szCs w:val="18"/>
              </w:rPr>
              <w:t xml:space="preserve">26</w:t>
            </w:r>
          </w:p>
        </w:tc>
        <w:tc>
          <w:tcPr>
            <w:tcW w:type="dxa" w:w="15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b/>
                <w:bCs/>
                <w:sz w:val="18"/>
                <w:szCs w:val="18"/>
              </w:rPr>
              <w:t xml:space="preserve">~70 hrs</w:t>
            </w:r>
          </w:p>
        </w:tc>
        <w:tc>
          <w:tcPr>
            <w:tcW w:type="dxa" w:w="15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186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b w:val="false"/>
                <w:bCs w:val="false"/>
                <w:sz w:val="18"/>
                <w:szCs w:val="18"/>
              </w:rPr>
              <w:t xml:space="preserve">0/26 complete</w:t>
            </w:r>
          </w:p>
        </w:tc>
      </w:tr>
    </w:tbl>
    <w:p>
      <w:pPr>
        <w:spacing w:after="80" w:before="80"/>
      </w:pPr>
      <w:r>
        <w:t xml:space="preserve"/>
      </w:r>
    </w:p>
    <w:p>
      <w:pPr>
        <w:pStyle w:val="Heading2"/>
        <w:spacing w:after="120" w:before="280"/>
      </w:pPr>
      <w:r>
        <w:rPr>
          <w:rFonts w:ascii="Arial" w:cs="Arial" w:eastAsia="Arial" w:hAnsi="Arial"/>
          <w:b/>
          <w:bCs/>
          <w:color w:val="16213E"/>
          <w:sz w:val="26"/>
          <w:szCs w:val="26"/>
        </w:rPr>
        <w:t xml:space="preserve">The Single Controlling Risk</w:t>
      </w:r>
    </w:p>
    <w:p>
      <w:pPr>
        <w:spacing w:after="60" w:before="60"/>
      </w:pPr>
      <w:r>
        <w:rPr>
          <w:rFonts w:ascii="Arial" w:cs="Arial" w:eastAsia="Arial" w:hAnsi="Arial"/>
          <w:sz w:val="20"/>
          <w:szCs w:val="20"/>
        </w:rPr>
        <w:t xml:space="preserve">Both analyses converge on the same root: all performance claims (F1=0.9362, FP=0.00%, TP=88%) rest on a synthetic corpus that has never been validated against production data. No amount of additional documentation, hardening, or test coverage changes this — only the Lloyd pilot closes it. The 8 Critical remediations above are not about proving the product works. They are about ensuring the product survives the standard enterprise security review that precedes any pilot approval.</w:t>
      </w:r>
    </w:p>
    <w:p>
      <w:pPr>
        <w:spacing w:after="80" w:before="80"/>
      </w:pPr>
      <w:r>
        <w:t xml:space="preserve"/>
      </w:r>
    </w:p>
    <w:p>
      <w:pPr>
        <w:spacing w:after="60" w:before="60"/>
      </w:pPr>
      <w:r>
        <w:rPr>
          <w:rFonts w:ascii="Arial" w:cs="Arial" w:eastAsia="Arial" w:hAnsi="Arial"/>
          <w:sz w:val="20"/>
          <w:szCs w:val="20"/>
        </w:rPr>
        <w:t xml:space="preserve">The pilot is the proof. The remediations are the entry ticket. Build the entry ticket. Get into the room.</w:t>
      </w:r>
    </w:p>
    <w:p>
      <w:pPr>
        <w:spacing w:after="80" w:before="80"/>
      </w:pPr>
      <w:r>
        <w:t xml:space="preserve"/>
      </w:r>
    </w:p>
    <w:p>
      <w:pPr>
        <w:pBdr>
          <w:bottom w:val="single" w:color="2E4057" w:sz="4" w:space="1"/>
        </w:pBdr>
        <w:spacing w:after="120" w:before="120"/>
      </w:pPr>
      <w:r>
        <w:t xml:space="preserve"/>
      </w:r>
    </w:p>
    <w:p>
      <w:pPr>
        <w:spacing w:after="80" w:before="80"/>
      </w:pPr>
      <w:r>
        <w:t xml:space="preserve"/>
      </w:r>
    </w:p>
    <w:p>
      <w:pPr>
        <w:jc w:val="center"/>
      </w:pPr>
      <w:r>
        <w:rPr>
          <w:rFonts w:ascii="Arial" w:cs="Arial" w:eastAsia="Arial" w:hAnsi="Arial"/>
          <w:i/>
          <w:iCs/>
          <w:color w:val="AAAAAA"/>
          <w:sz w:val="16"/>
          <w:szCs w:val="16"/>
        </w:rPr>
        <w:t xml:space="preserve">AgentRepEngine  |  Naseem A2A Research Lab / Call2leads Inc.  |  Internal — Pre-pilot Risk Assessment  |  April 13,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6213E"/>
      <w:sz w:val="26"/>
      <w:szCs w:val="26"/>
    </w:rPr>
  </w:style>
  <w:style w:type="paragraph" w:styleId="Heading3">
    <w:name w:val="Heading 3"/>
    <w:basedOn w:val="Normal"/>
    <w:next w:val="Normal"/>
    <w:qFormat/>
    <w:pPr>
      <w:spacing w:after="80" w:before="200"/>
      <w:outlineLvl w:val="2"/>
    </w:pPr>
    <w:rPr>
      <w:rFonts w:ascii="Arial" w:cs="Arial" w:eastAsia="Arial" w:hAnsi="Arial"/>
      <w:b/>
      <w:bCs/>
      <w:color w:val="0F346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2026-04-13T11:47:12.977Z</dcterms:created>
  <dcterms:modified xsi:type="dcterms:W3CDTF">2026-04-13T11:47:12.978Z</dcterms:modified>
</cp:coreProperties>
</file>

<file path=docProps/custom.xml><?xml version="1.0" encoding="utf-8"?>
<Properties xmlns="http://schemas.openxmlformats.org/officeDocument/2006/custom-properties" xmlns:vt="http://schemas.openxmlformats.org/officeDocument/2006/docPropsVTypes"/>
</file>