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11 — Commercial Positioning Brief</w:t>
      </w:r>
    </w:p>
    <w:p>
      <w:pPr>
        <w:pStyle w:val="Subtitle"/>
      </w:pPr>
      <w:r>
        <w:t xml:space="preserve">Market Fit, Comp Titles, Back-Cover Copy, and Editor Pitch for The Ruined Sky Cycle</w:t>
      </w:r>
    </w:p>
    <w:p>
      <w:pPr>
        <w:spacing w:after="60" w:before="60"/>
      </w:pPr>
      <w:r>
        <w:rPr>
          <w:i/>
          <w:iCs/>
          <w:color w:val="595959"/>
        </w:rPr>
        <w:t xml:space="preserve">Version 1.2 | Trilogy pitch | For acquiring editor / agent package. Public-facing copy lives here; private notes marked [EDITORIAL]. Aligned to 00A Trilogy Arc Map and the thirteen locked canon decisions.</w:t>
      </w:r>
    </w:p>
    <w:p>
      <w:pPr>
        <w:pStyle w:val="Heading1"/>
      </w:pPr>
      <w:r>
        <w:t xml:space="preserve">Executive Summary</w:t>
      </w:r>
    </w:p>
    <w:p>
      <w:pPr>
        <w:spacing w:after="60" w:before="60"/>
      </w:pPr>
      <w:r>
        <w:t xml:space="preserve">The Ruined Sky Cycle is a three-volume commercial military-fiction series set across the first decade after a coordinated Eurasian Coalition nuclear first strike collapses the United States. Each book is ~160,000 words; the full cycle is ~480,000 words.</w:t>
      </w:r>
    </w:p>
    <w:p>
      <w:pPr>
        <w:spacing w:after="60" w:before="60"/>
      </w:pPr>
      <w:r>
        <w:t xml:space="preserve">Book 1, Beneath a Ruined Sky, is the 63-day war and the crossing to Europe. Book 2, The Village of Tears, is the eighteen-month corridor war that culminates in a three-day combined-arms assault on the Gusev forced-labor complex in October 2037 — the Battle of Tears — which costs the Carter unit Ruth Carter, Captain Ava Reyes, Major Iwona Kowalska, and a paediatrician named Dominika, and costs the Coalition five named camp and Skull-Banner officers. Book 3, The Second Covenant, spans October 2037 through November 2041: tribunals that fail on chain-of-command grounds, hunts that succeed, a wedding in the rebuilt convent at Wieś Łez in 2039, Kafelnikov's killing on a Lower Silesia roadside in summer 2041, and the deaths of Barnes outside Olsztyn and Chen in Brussels in the same week of November 2041. Archivist Mira in 2091 Brussels frames the trilogy at its prologue and epilogue only.</w:t>
      </w:r>
    </w:p>
    <w:p>
      <w:pPr>
        <w:spacing w:after="60" w:before="60"/>
      </w:pPr>
      <w:r>
        <w:t xml:space="preserve">It is Ackerman and Stavridis's 2034 with Marlantes's Matterhorn carrying the weight, Clancy's Red Storm Rising doing the geopolitics, Powers's The Yellow Birds carrying the grief, and Bowden's Black Hawk Down and Wright's Generation Kill doing the convoy and the Battle of Tears. It is engineered for readers who buy hardcover military fiction and read it in two sittings, then give it to their fathers — and who will buy the next two volumes the day they appear.</w:t>
      </w:r>
    </w:p>
    <w:p>
      <w:pPr>
        <w:pStyle w:val="Heading1"/>
      </w:pPr>
      <w:r>
        <w:t xml:space="preserve">Positioning One-Liner</w:t>
      </w:r>
    </w:p>
    <w:p>
      <w:pPr>
        <w:pStyle w:val="Quote"/>
      </w:pPr>
      <w:r>
        <w:t xml:space="preserve">After the bombs fall, a Ranger major keeps counting; after his daughter is killed, he writes her name on a card and spends the next six years making sure it lands on the right seat between shot two and shot three.</w:t>
      </w:r>
    </w:p>
    <w:p>
      <w:pPr>
        <w:pStyle w:val="Heading1"/>
      </w:pPr>
      <w:r>
        <w:t xml:space="preserve">Elevator Pitch (60 seconds)</w:t>
      </w:r>
    </w:p>
    <w:p>
      <w:pPr>
        <w:spacing w:after="60" w:before="60"/>
      </w:pPr>
      <w:r>
        <w:t xml:space="preserve">July 14, 2035. A Eurasian Coalition strike removes Chicago. Sixty-three days later, Ottawa — and with it, American command. Major Daniel Barnes, a former 75th Ranger with two tours, is on the road east when he learns by Red Cross telegram that his daughter Clara has been killed outside Henderson, NC by a Skull-Banner auxiliary at a refugee-convoy ambush. By November he has crossed the Atlantic and met Major Iwona Kowalska, a Polish firefighter-turned-Territorial-Defense officer, at the Toruń garrison. Book 2 is the eighteen-month corridor war and the three-day Battle of Tears at the Gusev forced-labor complex in October 2037 — where the Carter unit loses Kowalska on the camp wall at 05:14 of Day 3, where Elias kills a Skull-Banner under-commander with a length of rebar in a Gusev work-block, and where Elias and Emma Carter lose their younger child Ruth to the same Coalition counter-battery round that kills the paediatric lay-sister treating her in the Szczytno shelter. Book 3 runs four more years: The Hague tribunals that collapse under a paper wall, four hunts across a dark Europe, and a forest-service road in Lower Silesia in summer 2041 where Barnes finally kills Colonel Pyotr Kafelnikov with three shots from cover — a card reading CLARA on the sedan's passenger seat between shot two and shot three. Months later Barnes dies outside Olsztyn; the same November week, Chen dies in Brussels. In 2091, Archivist Mira opens the footlocker.</w:t>
      </w:r>
    </w:p>
    <w:p>
      <w:r>
        <w:br w:type="page"/>
      </w:r>
    </w:p>
    <w:p>
      <w:pPr>
        <w:pStyle w:val="Heading1"/>
      </w:pPr>
      <w:r>
        <w:t xml:space="preserve">Market Fit</w:t>
      </w:r>
    </w:p>
    <w:p>
      <w:pPr>
        <w:pStyle w:val="Heading2"/>
      </w:pPr>
      <w:r>
        <w:t xml:space="preserve">Category</w:t>
      </w:r>
    </w:p>
    <w:p>
      <w:pPr>
        <w:pStyle w:val="ListParagraph"/>
        <w:numPr>
          <w:ilvl w:val="0"/>
          <w:numId w:val="2"/>
        </w:numPr>
        <w:spacing w:after="40" w:before="40"/>
      </w:pPr>
      <w:r>
        <w:t xml:space="preserve">Primary: Commercial Military Fiction (hardcover-front-table).</w:t>
      </w:r>
    </w:p>
    <w:p>
      <w:pPr>
        <w:pStyle w:val="ListParagraph"/>
        <w:numPr>
          <w:ilvl w:val="0"/>
          <w:numId w:val="2"/>
        </w:numPr>
        <w:spacing w:after="40" w:before="40"/>
      </w:pPr>
      <w:r>
        <w:t xml:space="preserve">Secondary: Literary Thriller / Near-future geopolitical.</w:t>
      </w:r>
    </w:p>
    <w:p>
      <w:pPr>
        <w:pStyle w:val="ListParagraph"/>
        <w:numPr>
          <w:ilvl w:val="0"/>
          <w:numId w:val="2"/>
        </w:numPr>
        <w:spacing w:after="40" w:before="40"/>
      </w:pPr>
      <w:r>
        <w:t xml:space="preserve">Tertiary: Book-club literary (archivist frame, moral weight, women's storyline through Emma and Kowalska).</w:t>
      </w:r>
    </w:p>
    <w:p>
      <w:pPr>
        <w:pStyle w:val="Heading2"/>
      </w:pPr>
      <w:r>
        <w:t xml:space="preserve">Target Readers</w:t>
      </w:r>
    </w:p>
    <w:p>
      <w:pPr>
        <w:pStyle w:val="ListParagraph"/>
        <w:numPr>
          <w:ilvl w:val="0"/>
          <w:numId w:val="2"/>
        </w:numPr>
        <w:spacing w:after="40" w:before="40"/>
      </w:pPr>
      <w:r>
        <w:t xml:space="preserve">Readers of Ackerman &amp; Stavridis's 2034 and Clancy's Red Storm Rising who want a second and third book to live with.</w:t>
      </w:r>
    </w:p>
    <w:p>
      <w:pPr>
        <w:pStyle w:val="ListParagraph"/>
        <w:numPr>
          <w:ilvl w:val="0"/>
          <w:numId w:val="2"/>
        </w:numPr>
        <w:spacing w:after="40" w:before="40"/>
      </w:pPr>
      <w:r>
        <w:t xml:space="preserve">Readers of Marlantes's Matterhorn and Powers's The Yellow Birds who want weight and grief without sentimentality.</w:t>
      </w:r>
    </w:p>
    <w:p>
      <w:pPr>
        <w:pStyle w:val="ListParagraph"/>
        <w:numPr>
          <w:ilvl w:val="0"/>
          <w:numId w:val="2"/>
        </w:numPr>
        <w:spacing w:after="40" w:before="40"/>
      </w:pPr>
      <w:r>
        <w:t xml:space="preserve">Readers of Bowden's Black Hawk Down and Wright's Generation Kill who want the convoy rhythms and the set-piece.</w:t>
      </w:r>
    </w:p>
    <w:p>
      <w:pPr>
        <w:pStyle w:val="ListParagraph"/>
        <w:numPr>
          <w:ilvl w:val="0"/>
          <w:numId w:val="2"/>
        </w:numPr>
        <w:spacing w:after="40" w:before="40"/>
      </w:pPr>
      <w:r>
        <w:t xml:space="preserve">Readers of Ambrose's Band of Brothers who want a named unit to follow across a war.</w:t>
      </w:r>
    </w:p>
    <w:p>
      <w:pPr>
        <w:pStyle w:val="ListParagraph"/>
        <w:numPr>
          <w:ilvl w:val="0"/>
          <w:numId w:val="2"/>
        </w:numPr>
        <w:spacing w:after="40" w:before="40"/>
      </w:pPr>
      <w:r>
        <w:t xml:space="preserve">Military-adjacent households (veterans, first responders, police families, nurses).</w:t>
      </w:r>
    </w:p>
    <w:p>
      <w:pPr>
        <w:pStyle w:val="ListParagraph"/>
        <w:numPr>
          <w:ilvl w:val="0"/>
          <w:numId w:val="2"/>
        </w:numPr>
        <w:spacing w:after="40" w:before="40"/>
      </w:pPr>
      <w:r>
        <w:t xml:space="preserve">Men 35–65 who buy 4–12 hardcovers a year. Women 35–65 who buy 10–30. Both are core. Trilogy format compounds both.</w:t>
      </w:r>
    </w:p>
    <w:p>
      <w:pPr>
        <w:pStyle w:val="Heading2"/>
      </w:pPr>
      <w:r>
        <w:t xml:space="preserve">Comp Titles (Current Market,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Title</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Author</w:t>
            </w:r>
          </w:p>
        </w:tc>
        <w:tc>
          <w:tcPr>
            <w:tcW w:type="dxa" w:w="43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Why It's a Comp</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2034: A Novel of the Next World War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Elliot Ackerman &amp; James Stavridis</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Near-future geopolitical collapse treated with professional seriousness; multi-POV military fiction. TRSC is its larger, grief-carrying cousin.</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Matterhorn</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Karl Marlantes</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The combat-weight benchmark. Named unit, named deaths, no sentimentality. Book 2's Tears chapters are engineered to this standard.</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Red Storm Rising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Tom Clancy</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The geopolitical engine and theatre war template. TRSC collapses the prewar to one book and spends three on the aftermath.</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The Yellow Birds</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Kevin Powers</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The grief voice. Barnes's compression post-Clara and Kowalska's four-inaudible-words are engineered in this tradition.</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Generation Kill</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Evan Wright</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The convoy rhythms and professional voice. The Carter unit scenes owe this book their cadence.</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Band of Brothers</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Stephen Ambrose</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The named unit across a long war. Reader identification is with the unit, not one hero. TRSC does the same across three books.</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Black Hawk Down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Mark Bowden</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The set-piece grammar of sustained combat. The Battle of Tears is written to this standard.</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One Second After</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William Forstchen</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The civilian-collapse floor of the category. TRSC is its military-discipline counterpart.</w:t>
            </w:r>
          </w:p>
        </w:tc>
      </w:tr>
    </w:tbl>
    <w:p>
      <w:pPr>
        <w:pStyle w:val="Heading2"/>
      </w:pPr>
      <w:r>
        <w:t xml:space="preserve">Differentiators</w:t>
      </w:r>
    </w:p>
    <w:p>
      <w:pPr>
        <w:pStyle w:val="ListParagraph"/>
        <w:numPr>
          <w:ilvl w:val="0"/>
          <w:numId w:val="2"/>
        </w:numPr>
        <w:spacing w:after="40" w:before="40"/>
      </w:pPr>
      <w:r>
        <w:t xml:space="preserve">Trilogy committed on day one. Named roster of twenty-two characters; five survivors at the end of Book 3. Readers know from the dust jacket of Book 1 that this trilogy will commit.</w:t>
      </w:r>
    </w:p>
    <w:p>
      <w:pPr>
        <w:pStyle w:val="ListParagraph"/>
        <w:numPr>
          <w:ilvl w:val="0"/>
          <w:numId w:val="2"/>
        </w:numPr>
        <w:spacing w:after="40" w:before="40"/>
      </w:pPr>
      <w:r>
        <w:t xml:space="preserve">Five anchor objects moving across the trilogy: the card (Barnes), Hale's rifle (Hale → Barnes → Kowalska → Barnes → buried with Barnes), the bracelet (Lena → Elias → Emma → Sam's daughter → Mira), the open cup (Sam and Ruth → Sam → Mira), and Hesse's crossword (Hesse → Kowalska → coffin → Hague evidence → Mira). Each carries structural meaning, not decoration.</w:t>
      </w:r>
    </w:p>
    <w:p>
      <w:pPr>
        <w:pStyle w:val="ListParagraph"/>
        <w:numPr>
          <w:ilvl w:val="0"/>
          <w:numId w:val="2"/>
        </w:numPr>
        <w:spacing w:after="40" w:before="40"/>
      </w:pPr>
      <w:r>
        <w:t xml:space="preserve">A real antagonist with a real backstory: Colonel Pyotr Kafelnikov — former Russian Spetsnaz GRU 2003 – 2029; Coalition-deniable SOF by 2035. He is a professional, not a cartoon, and Barnes has to be better than him at his own job to kill him.</w:t>
      </w:r>
    </w:p>
    <w:p>
      <w:pPr>
        <w:pStyle w:val="ListParagraph"/>
        <w:numPr>
          <w:ilvl w:val="0"/>
          <w:numId w:val="2"/>
        </w:numPr>
        <w:spacing w:after="40" w:before="40"/>
      </w:pPr>
      <w:r>
        <w:t xml:space="preserve">The dual romance engine: Elias and Emma as the hope line, Barnes and Kowalska as the tragedy line. Both paid for in full.</w:t>
      </w:r>
    </w:p>
    <w:p>
      <w:pPr>
        <w:pStyle w:val="ListParagraph"/>
        <w:numPr>
          <w:ilvl w:val="0"/>
          <w:numId w:val="2"/>
        </w:numPr>
        <w:spacing w:after="40" w:before="40"/>
      </w:pPr>
      <w:r>
        <w:t xml:space="preserve">An archivist frame (Mira, 2091) reduced to prologue and epilogue — present but never intrusive.</w:t>
      </w:r>
    </w:p>
    <w:p>
      <w:pPr>
        <w:pStyle w:val="ListParagraph"/>
        <w:numPr>
          <w:ilvl w:val="0"/>
          <w:numId w:val="2"/>
        </w:numPr>
        <w:spacing w:after="40" w:before="40"/>
      </w:pPr>
      <w:r>
        <w:t xml:space="preserve">Europe matters. This is not a purely American collapse novel. Poland, Germany, and the Baltic carry Books 2 and 3.</w:t>
      </w:r>
    </w:p>
    <w:p>
      <w:pPr>
        <w:pStyle w:val="ListParagraph"/>
        <w:numPr>
          <w:ilvl w:val="0"/>
          <w:numId w:val="2"/>
        </w:numPr>
        <w:spacing w:after="40" w:before="40"/>
      </w:pPr>
      <w:r>
        <w:t xml:space="preserve">Hook + end-punch per-chapter engineering across 92 total chapters. Every chapter opens with a refuse-to-close hook and closes with an engineered end-punch.</w:t>
      </w:r>
    </w:p>
    <w:p>
      <w:pPr>
        <w:pStyle w:val="ListParagraph"/>
        <w:numPr>
          <w:ilvl w:val="0"/>
          <w:numId w:val="2"/>
        </w:numPr>
        <w:spacing w:after="40" w:before="40"/>
      </w:pPr>
      <w:r>
        <w:rPr>
          <w:b/>
          <w:bCs/>
        </w:rPr>
        <w:t xml:space="preserve">Permanent anonymity for the Marshal of the Coalition's European theater (locked 2026-04-25). </w:t>
      </w:r>
      <w:r>
        <w:t xml:space="preserve">The military commander with the most operational impact across the trilogy is never named — on-page, off-page, or in any reference document. He survives the war and retires to Sochi 2043. The trilogy's argument is that the war is a system, not a personality; commercial military fiction defaults to the latter, and TRSC commits to the former. This is one of the trilogy's principal acquisition arguments — a literary-fiction move that the comp slate (Marlantes / Powers) honors and that a book-club readership reads as moral seriousness.</w:t>
      </w:r>
    </w:p>
    <w:p>
      <w:pPr>
        <w:pStyle w:val="ListParagraph"/>
        <w:numPr>
          <w:ilvl w:val="0"/>
          <w:numId w:val="2"/>
        </w:numPr>
        <w:spacing w:after="40" w:before="40"/>
      </w:pPr>
      <w:r>
        <w:rPr>
          <w:b/>
          <w:bCs/>
        </w:rPr>
        <w:t xml:space="preserve">Coalition officialdom rendered without caricature. </w:t>
      </w:r>
      <w:r>
        <w:t xml:space="preserve">Counselor Lebedeva (architect-of-cover witness) and Ambassador Voronov (public-face witness) testify under their own names at the 2040 Brussels tribunal. Their distinct testimonies — internal decision-making vs. rehearsal of public language — are the trilogy's brain-vs-mouth thesis on the war's bureaucracy. Both die after testimony: Lebedeva by Coalition internal wet-work, Voronov by biology. The novel refuses the satisfaction of punishing the polite.</w:t>
      </w:r>
    </w:p>
    <w:p>
      <w:r>
        <w:br w:type="page"/>
      </w:r>
    </w:p>
    <w:p>
      <w:pPr>
        <w:pStyle w:val="Heading1"/>
      </w:pPr>
      <w:r>
        <w:t xml:space="preserve">Back-Cover Copy — Book 1 (Public, 150 words)</w:t>
      </w:r>
    </w:p>
    <w:p>
      <w:pPr>
        <w:pStyle w:val="Quote"/>
      </w:pPr>
      <w:r>
        <w:t xml:space="preserve">On July 14, 2035, a single morning erases Chicago. By September 15, coherent American command is gone. In its silence, a Ranger major counts.
Major Daniel Barnes has two combat tours and a daughter. On July 21, a Carolina militia roadblock takes the second from him. By November, he has crossed the Atlantic with what is left of his unit and met a Polish firefighter who will not tell him her first name.
Elias Carter counts time on his wife's silver bracelet, because counting is how he keeps faith. Emma Carter, his wife, will cross an ocean to keep their children alive.
From Brussels in 2091, Archivist Mira opens a footlocker. Inside: a silver bracelet, a folded crossword puzzle, and a small water-stained card that reads one word.
The Ruined Sky Cycle begins here. Three books. Twenty-two names. Five survivors.</w:t>
      </w:r>
    </w:p>
    <w:p>
      <w:pPr>
        <w:pStyle w:val="Heading1"/>
      </w:pPr>
      <w:r>
        <w:t xml:space="preserve">Back-Cover Copy — Book 2 (Public, 140 words)</w:t>
      </w:r>
    </w:p>
    <w:p>
      <w:pPr>
        <w:pStyle w:val="Quote"/>
      </w:pPr>
      <w:r>
        <w:t xml:space="preserve">October 2037. Eighteen months of corridor attrition have brought the 2nd WOT Brigade under Major Iwona Kowalska to the gates of the Gusev forced-labor complex — and brought the Coalition's Skull-Banner command to the same gates in the other direction. Three days of fighting inside the wire will name the village that is not yet built: Wieś Łez, the Village of Tears.
Major Barnes has a second card in his pocket now. Mother Agathe will not leave the convent at Szczytno. The paediatric ward will be struck at 09:40 on Day One.
On Day Three at 05:14, a sniper finds the camp wall.
From the shelter at Szczytno to the inner command post at Gusev, The Village of Tears is a three-day set piece written in the tradition of Matterhorn and Black Hawk Down. Everything the Carter unit came to Europe to do is here, and everything it will carry for the rest of its life starts here.</w:t>
      </w:r>
    </w:p>
    <w:p>
      <w:pPr>
        <w:pStyle w:val="Heading1"/>
      </w:pPr>
      <w:r>
        <w:t xml:space="preserve">Back-Cover Copy — Book 3 (Public, 130 words)</w:t>
      </w:r>
    </w:p>
    <w:p>
      <w:pPr>
        <w:pStyle w:val="Quote"/>
      </w:pPr>
      <w:r>
        <w:t xml:space="preserve">Late 2037. The Hague convenes a tribunal that will put the Coalition on the public record. Within a year, three witnesses and a Gusev doctor are dead.
Major Barnes has a list, and a Chen-run intelligence line. The list will get shorter before it gets longer. A wedding will happen in a rebuilt convent chapel at Wieś Łez in 2039. A colonel will die on a Lower Silesia forest-service road in summer 2041 because a card dropped between shot two and shot three said the right name.
Months after that, Barnes himself will be on the shoulder of the Olsztyn road. The same November week, Chen will go dark in Brussels.
The Second Covenant closes The Ruined Sky Cycle with the question the trilogy has been holding since page one: what does it cost to keep a promise nobody else heard you make?
From Brussels, in 2091, Mira closes the box.</w:t>
      </w:r>
    </w:p>
    <w:p>
      <w:pPr>
        <w:pStyle w:val="Heading1"/>
      </w:pPr>
      <w:r>
        <w:t xml:space="preserve">Cover-Flap Pull Quotes (Drafted)</w:t>
      </w:r>
    </w:p>
    <w:p>
      <w:pPr>
        <w:pStyle w:val="Quote"/>
      </w:pPr>
      <w:r>
        <w:t xml:space="preserve">"Ackerman and Stavridis's 2034 meets Matterhorn. Marlantes would read this and nod."</w:t>
      </w:r>
    </w:p>
    <w:p>
      <w:pPr>
        <w:pStyle w:val="Quote"/>
      </w:pPr>
      <w:r>
        <w:t xml:space="preserve">"Trilogy military fiction that commits. Twenty-two names. Five survivors. Count them."</w:t>
      </w:r>
    </w:p>
    <w:p>
      <w:pPr>
        <w:pStyle w:val="Quote"/>
      </w:pPr>
      <w:r>
        <w:t xml:space="preserve">"Read Book 1 and you will pre-order Book 2 before you finish the last page."</w:t>
      </w:r>
    </w:p>
    <w:p>
      <w:pPr>
        <w:spacing w:after="60" w:before="60"/>
      </w:pPr>
      <w:r>
        <w:rPr>
          <w:b/>
          <w:bCs/>
        </w:rPr>
        <w:t xml:space="preserve">[EDITORIAL] </w:t>
      </w:r>
      <w:r>
        <w:rPr>
          <w:i/>
          <w:iCs/>
        </w:rPr>
        <w:t xml:space="preserve">Placeholders. Real quotes come from blurbs; targets: 2 commercial military-fiction names (Ackerman, Stavridis), 2 literary names (Powers, Marlantes if possible), 1 veteran-voice name, 1 tribunal-adjacent voice.</w:t>
      </w:r>
    </w:p>
    <w:p>
      <w:pPr>
        <w:pStyle w:val="Heading1"/>
      </w:pPr>
      <w:r>
        <w:t xml:space="preserve">Editor Pitch Letter (Drafted — 1 page)</w:t>
      </w:r>
    </w:p>
    <w:p>
      <w:pPr>
        <w:spacing w:after="60" w:before="60"/>
      </w:pPr>
      <w:r>
        <w:rPr>
          <w:i/>
          <w:iCs/>
        </w:rPr>
        <w:t xml:space="preserve">Dear [Editor],</w:t>
      </w:r>
    </w:p>
    <w:p>
      <w:pPr>
        <w:spacing w:after="60" w:before="60"/>
      </w:pPr>
      <w:r>
        <w:t xml:space="preserve">The Ruined Sky Cycle is a three-volume commercial military-fiction series totaling roughly 480,000 words, committed as a trilogy at the outset. Book 1 (Beneath a Ruined Sky) is complete through outline and opening chapters; Books 2 and 3 have full structural outlines with per-chapter beats, named-casualty rosters, and motif inheritance maps already drafted.</w:t>
      </w:r>
    </w:p>
    <w:p>
      <w:pPr>
        <w:spacing w:after="60" w:before="60"/>
      </w:pPr>
      <w:r>
        <w:t xml:space="preserve">It is told through five converging POVs: Major Daniel Barnes (former 75th Ranger), Elias Carter (NCO, husband), Emma Carter (pediatric nurse attached to Convoy Bravo, later the informal Carter cell), David Chen (NSA-to-NEC strategic voice), and Mira (2091 archivist, prologue and epilogue only). Book 2 adds Polish WOT Major Iwona Kowalska (2nd Brigade) as a co-lead through the end of the Battle of Tears.</w:t>
      </w:r>
    </w:p>
    <w:p>
      <w:pPr>
        <w:spacing w:after="60" w:before="60"/>
      </w:pPr>
      <w:r>
        <w:t xml:space="preserve">I have written it for readers who loved 2034 and Matterhorn and wished one had the weight of the other, and who wanted a committed trilogy rather than an open series. The dialogue does the heavy lifting; the doctrine is real; the Coalition is not a cartoon; Colonel Kafelnikov is a former Spetsnaz professional, not a villain. The Battle of Tears in Book 2 is a three-day set piece written to Black Hawk Down standards. The trilogy closes with Barnes's death in Book 3 — not the Coalition's defeat. The difference is the point of the book.</w:t>
      </w:r>
    </w:p>
    <w:p>
      <w:pPr>
        <w:spacing w:after="60" w:before="60"/>
      </w:pPr>
      <w:r>
        <w:t xml:space="preserve">The reference library is substantial (sixteen governance documents, including full casualty timelines across all three books) and is designed to protect the prose against canon drift across a multi-year writing program. I am ready to submit the opening 100 pages of Book 1 and the full trilogy outline; Book 1 chapter 1 is ready for line-edit review.</w:t>
      </w:r>
    </w:p>
    <w:p>
      <w:pPr>
        <w:spacing w:after="60" w:before="60"/>
      </w:pPr>
      <w:r>
        <w:t xml:space="preserve">I would welcome the chance to send material.</w:t>
      </w:r>
    </w:p>
    <w:p>
      <w:pPr>
        <w:spacing w:after="60" w:before="60"/>
      </w:pPr>
      <w:r>
        <w:rPr>
          <w:i/>
          <w:iCs/>
        </w:rPr>
        <w:t xml:space="preserve">Sincerely,</w:t>
      </w:r>
    </w:p>
    <w:p>
      <w:pPr>
        <w:spacing w:after="60" w:before="60"/>
      </w:pPr>
      <w:r>
        <w:rPr>
          <w:i/>
          <w:iCs/>
        </w:rPr>
        <w:t xml:space="preserve">[Author Name]</w:t>
      </w:r>
    </w:p>
    <w:p>
      <w:r>
        <w:br w:type="page"/>
      </w:r>
    </w:p>
    <w:p>
      <w:pPr>
        <w:pStyle w:val="Heading1"/>
      </w:pPr>
      <w:r>
        <w:t xml:space="preserve">Metadata (for querying /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Value</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Series Title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The Ruined Sky Cycle</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Book 1 Title</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Beneath a Ruined Sky</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Book 2 Title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The Village of Tears</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Book 3 Title</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The Second Covenant</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Category / BISAC</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FICTION / War &amp; Military; FICTION / Thrillers / Military; FICTION / Literary</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Word count (per book)</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~160,000 (Book 1 floor); full cycle ~480,000</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Format target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Hardcover lead; trade paperback; audio</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Trim target</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6.125 × 9.25 (hardcover)</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Audience age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Adult (35–65 core; 25–34 secondary)</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Content warnings</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Wartime violence; a child's death (rendered in a 38-line hard cap, Book 2 Ch 23); grief; named-character deaths across the roster; tribunal testimony</w:t>
            </w:r>
          </w:p>
        </w:tc>
      </w:tr>
      <w:tr>
        <w:trPr>
          <w:tblHeader w:val="false"/>
        </w:trP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Sensitivity</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Military, tribunal, and Polish WOT consultants consulted on operational and legal detail</w:t>
            </w:r>
          </w:p>
        </w:tc>
      </w:tr>
      <w:tr>
        <w:trPr>
          <w:tblHeader w:val="false"/>
        </w:trP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Series commitment</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Trilogy committed at the outset; no fourth volume</w:t>
            </w:r>
          </w:p>
        </w:tc>
      </w:tr>
    </w:tbl>
    <w:p>
      <w:pPr>
        <w:pStyle w:val="Heading1"/>
      </w:pPr>
      <w:r>
        <w:t xml:space="preserve">Series and Adaptation Potential</w:t>
      </w:r>
    </w:p>
    <w:p>
      <w:pPr>
        <w:pStyle w:val="Heading2"/>
      </w:pPr>
      <w:r>
        <w:t xml:space="preserve">Trilogy Architecture (Locked)</w:t>
      </w:r>
    </w:p>
    <w:p>
      <w:pPr>
        <w:spacing w:after="60" w:before="60"/>
      </w:pPr>
      <w:r>
        <w:t xml:space="preserve">The trilogy is committed. Each book has a defined opening chapter, a defined closing chapter, and a per-chapter casualty roster that ties to the master timeline. There is no planned fourth volume. The trilogy's closed-system architecture is a selling feature, not a limitation: readers buy Book 1 knowing Book 3 will end.</w:t>
      </w:r>
    </w:p>
    <w:p>
      <w:pPr>
        <w:pStyle w:val="Heading2"/>
      </w:pPr>
      <w:r>
        <w:t xml:space="preserve">Screen Potential</w:t>
      </w:r>
    </w:p>
    <w:p>
      <w:pPr>
        <w:spacing w:after="60" w:before="60"/>
      </w:pPr>
      <w:r>
        <w:t xml:space="preserve">TRSC is engineered as three prestige limited seasons — eight to ten episodes each, mapping cleanly onto the per-book part structures. Multi-POV structure is native to the form. The archivist frame is an elegant cold-open for Book 1 and a warm-close for Book 3. Scenes are pre-engineered with hook and end-punch — that structure translates directly to episode openers and act breaks. [EDITORIAL] Do not pitch screen before print.</w:t>
      </w:r>
    </w:p>
    <w:p>
      <w:pPr>
        <w:pStyle w:val="Heading1"/>
      </w:pPr>
      <w:r>
        <w:t xml:space="preserve">Marketing Hooks</w:t>
      </w:r>
    </w:p>
    <w:p>
      <w:pPr>
        <w:pStyle w:val="ListParagraph"/>
        <w:numPr>
          <w:ilvl w:val="0"/>
          <w:numId w:val="2"/>
        </w:numPr>
        <w:spacing w:after="40" w:before="40"/>
      </w:pPr>
      <w:r>
        <w:rPr>
          <w:b/>
          <w:bCs/>
        </w:rPr>
        <w:t xml:space="preserve">"Count with me. Four in. Four out." </w:t>
      </w:r>
      <w:r>
        <w:t xml:space="preserve">A care-cadence line that functions as a campaign anchor. Suitable for book-club swag, a 15-second pre-roll, a jacket-band. Unchanged from v1.0; it still works.</w:t>
      </w:r>
    </w:p>
    <w:p>
      <w:pPr>
        <w:pStyle w:val="ListParagraph"/>
        <w:numPr>
          <w:ilvl w:val="0"/>
          <w:numId w:val="2"/>
        </w:numPr>
        <w:spacing w:after="40" w:before="40"/>
      </w:pPr>
      <w:r>
        <w:rPr>
          <w:b/>
          <w:bCs/>
        </w:rPr>
        <w:t xml:space="preserve">The card. </w:t>
      </w:r>
      <w:r>
        <w:t xml:space="preserve">Three campaign elements: cards reading TIME BEFORE LIVES (Book 1), TEARS (Book 2), CLARA (Book 3). Distributed sequentially at events. The object is already in the book; the campaign inherits its meaning.</w:t>
      </w:r>
    </w:p>
    <w:p>
      <w:pPr>
        <w:pStyle w:val="ListParagraph"/>
        <w:numPr>
          <w:ilvl w:val="0"/>
          <w:numId w:val="2"/>
        </w:numPr>
        <w:spacing w:after="40" w:before="40"/>
      </w:pPr>
      <w:r>
        <w:rPr>
          <w:b/>
          <w:bCs/>
        </w:rPr>
        <w:t xml:space="preserve">The rifle. </w:t>
      </w:r>
      <w:r>
        <w:t xml:space="preserve">Hale's SR-25 pattern rifle travels the trilogy. Event merch: a small engraved band with the three locations (Highway 70 / Gusev / Olsztyn).</w:t>
      </w:r>
    </w:p>
    <w:p>
      <w:pPr>
        <w:pStyle w:val="ListParagraph"/>
        <w:numPr>
          <w:ilvl w:val="0"/>
          <w:numId w:val="2"/>
        </w:numPr>
        <w:spacing w:after="40" w:before="40"/>
      </w:pPr>
      <w:r>
        <w:rPr>
          <w:b/>
          <w:bCs/>
        </w:rPr>
        <w:t xml:space="preserve">The twenty-two names. </w:t>
      </w:r>
      <w:r>
        <w:t xml:space="preserve">A campaign built around the cast list, with five highlighted as survivors. Readers are invited to predict; the trilogy pays.</w:t>
      </w:r>
    </w:p>
    <w:p>
      <w:pPr>
        <w:pStyle w:val="ListParagraph"/>
        <w:numPr>
          <w:ilvl w:val="0"/>
          <w:numId w:val="2"/>
        </w:numPr>
        <w:spacing w:after="40" w:before="40"/>
      </w:pPr>
      <w:r>
        <w:rPr>
          <w:b/>
          <w:bCs/>
        </w:rPr>
        <w:t xml:space="preserve">The archivist frame. </w:t>
      </w:r>
      <w:r>
        <w:t xml:space="preserve">An essay series from Mira's voice, commissioned as original pieces in literary outlets around each book's launch.</w:t>
      </w:r>
    </w:p>
    <w:p>
      <w:pPr>
        <w:pStyle w:val="ListParagraph"/>
        <w:numPr>
          <w:ilvl w:val="0"/>
          <w:numId w:val="2"/>
        </w:numPr>
        <w:spacing w:after="40" w:before="40"/>
      </w:pPr>
      <w:r>
        <w:rPr>
          <w:b/>
          <w:bCs/>
        </w:rPr>
        <w:t xml:space="preserve">Book-club kit. </w:t>
      </w:r>
      <w:r>
        <w:t xml:space="preserve">Discussion questions built around the three anchor objects; pairs with veteran and nurse reading groups.</w:t>
      </w:r>
    </w:p>
    <w:p>
      <w:pPr>
        <w:pStyle w:val="Heading1"/>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Risk</w:t>
            </w:r>
          </w:p>
        </w:tc>
        <w:tc>
          <w:tcPr>
            <w:tcW w:type="dxa" w:w="5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Mitigation</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Trilogy commitment before Book 2 sells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Books 2 and 3 have complete structural outlines with per-chapter beats. The trilogy's closed system is contracted in the outline, not improvised.</w:t>
            </w:r>
          </w:p>
        </w:tc>
      </w:tr>
      <w:tr>
        <w:trPr>
          <w:tblHeader w:val="false"/>
        </w:trP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Post-apocalyptic genre fatigue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The trilogy is military fiction first, post-apocalyptic second. Comps lead with 2034 and Matterhorn, not One Second After.</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Readers expecting techno-thriller specificity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We deliver it (SILVER-HOLD, ARGUS, SEVER, ANVIL) but anchor it in character. The technical depth is an asset, not a wall.</w:t>
            </w:r>
          </w:p>
        </w:tc>
      </w:tr>
      <w:tr>
        <w:trPr>
          <w:tblHeader w:val="false"/>
        </w:trP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Killing named POV characters (Barnes, Kowalska, Chen)</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Locked in outline; reader will know by Book 2 close that the trilogy commits. This is a feature of the comp set (Matterhorn, Powers). It is the weight that gives the wedding and the last-card scene their force.</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Length (~480,000 across three books)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Hook / end-punch per-chapter engineering keeps pacing tight. Comp trilogies (Ackerman/Stavridis running; Clancy's standalones long) support the length.</w:t>
            </w:r>
          </w:p>
        </w:tc>
      </w:tr>
      <w:tr>
        <w:trPr>
          <w:tblHeader w:val="false"/>
        </w:trP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Polish and German setting for Books 2 and 3</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20"/>
                <w:szCs w:val="20"/>
              </w:rPr>
              <w:t xml:space="preserve">Research investment substantial; WOT liaison consultants secured; Polish-place-name convention locked in 08 Glossary.</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Coalition politics read as caricature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20"/>
                <w:szCs w:val="20"/>
              </w:rPr>
              <w:t xml:space="preserve">Named Coalition officials are treated as professionals under orders; Lebedeva and Voronov testify under their own names before they are killed. The novel refuses to give the reader a satisfying trial of the polite.</w:t>
            </w:r>
          </w:p>
        </w:tc>
      </w:tr>
    </w:tbl>
    <w:p>
      <w:pPr>
        <w:pStyle w:val="Heading1"/>
      </w:pPr>
      <w:r>
        <w:t xml:space="preserve">Submission Readiness Checklist</w:t>
      </w:r>
    </w:p>
    <w:p>
      <w:pPr>
        <w:pStyle w:val="ListParagraph"/>
        <w:numPr>
          <w:ilvl w:val="0"/>
          <w:numId w:val="3"/>
        </w:numPr>
        <w:spacing w:after="40" w:before="40"/>
      </w:pPr>
      <w:r>
        <w:t xml:space="preserve">Query letter (this file, trilogy-scope).</w:t>
      </w:r>
    </w:p>
    <w:p>
      <w:pPr>
        <w:pStyle w:val="ListParagraph"/>
        <w:numPr>
          <w:ilvl w:val="0"/>
          <w:numId w:val="3"/>
        </w:numPr>
        <w:spacing w:after="40" w:before="40"/>
      </w:pPr>
      <w:r>
        <w:t xml:space="preserve">Trilogy synopsis (6-page, derived from 00A Arc Map + 04 Book 1 outline + 12/13 Book 2 and 3 outlines).</w:t>
      </w:r>
    </w:p>
    <w:p>
      <w:pPr>
        <w:pStyle w:val="ListParagraph"/>
        <w:numPr>
          <w:ilvl w:val="0"/>
          <w:numId w:val="3"/>
        </w:numPr>
        <w:spacing w:after="40" w:before="40"/>
      </w:pPr>
      <w:r>
        <w:t xml:space="preserve">Opening 50 pages of Book 1 polished to line-edit readiness.</w:t>
      </w:r>
    </w:p>
    <w:p>
      <w:pPr>
        <w:pStyle w:val="ListParagraph"/>
        <w:numPr>
          <w:ilvl w:val="0"/>
          <w:numId w:val="3"/>
        </w:numPr>
        <w:spacing w:after="40" w:before="40"/>
      </w:pPr>
      <w:r>
        <w:t xml:space="preserve">Full trilogy chapter-by-chapter outline (04 + 12 + 13).</w:t>
      </w:r>
    </w:p>
    <w:p>
      <w:pPr>
        <w:pStyle w:val="ListParagraph"/>
        <w:numPr>
          <w:ilvl w:val="0"/>
          <w:numId w:val="3"/>
        </w:numPr>
        <w:spacing w:after="40" w:before="40"/>
      </w:pPr>
      <w:r>
        <w:t xml:space="preserve">Author bio and short trilogy-scope marketing plan.</w:t>
      </w:r>
    </w:p>
    <w:p>
      <w:pPr>
        <w:pStyle w:val="ListParagraph"/>
        <w:numPr>
          <w:ilvl w:val="0"/>
          <w:numId w:val="3"/>
        </w:numPr>
        <w:spacing w:after="40" w:before="40"/>
      </w:pPr>
      <w:r>
        <w:t xml:space="preserve">Target-agent list (12–18 names, with tiered preference) — agents who represent military and literary fiction both.</w:t>
      </w:r>
    </w:p>
    <w:p>
      <w:pPr>
        <w:pStyle w:val="Quote"/>
      </w:pPr>
      <w:r>
        <w:t xml:space="preserve">[END OF COMMERCIAL POSITIONING BRIEF — v1.2 TRILOGY]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BRS Reference Library  •  v1.1</w:t>
    </w:r>
    <w:r>
      <w:rPr>
        <w:color w:val="808080"/>
        <w:sz w:val="18"/>
        <w:szCs w:val="18"/>
      </w:rPr>
      <w:t xml:space="preserve">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1"/>
      </w:pBdr>
      <w:tabs>
        <w:tab w:val="right" w:pos="9026"/>
      </w:tabs>
    </w:pPr>
    <w:r>
      <w:rPr>
        <w:i/>
        <w:iCs/>
        <w:color w:val="808080"/>
        <w:sz w:val="18"/>
        <w:szCs w:val="18"/>
      </w:rPr>
      <w:t xml:space="preserve">Beneath a Ruined Sky</w:t>
    </w:r>
    <w:r>
      <w:rPr>
        <w:color w:val="808080"/>
        <w:sz w:val="18"/>
        <w:szCs w:val="18"/>
      </w:rPr>
      <w:t xml:space="preserve">	Commercial Positioning Brief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864"/>
      <w:sz w:val="44"/>
      <w:szCs w:val="44"/>
    </w:rPr>
  </w:style>
  <w:style w:type="paragraph" w:styleId="Subtitle">
    <w:name w:val="Subtitle"/>
    <w:basedOn w:val="Normal"/>
    <w:next w:val="Normal"/>
    <w:qFormat/>
    <w:pPr>
      <w:spacing w:after="360" w:before="0"/>
    </w:pPr>
    <w:rPr>
      <w:rFonts w:ascii="Calibri" w:cs="Calibri" w:eastAsia="Calibri" w:hAnsi="Calibri"/>
      <w:i/>
      <w:iCs/>
      <w:color w:val="595959"/>
      <w:sz w:val="26"/>
      <w:szCs w:val="26"/>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74B5"/>
      <w:sz w:val="22"/>
      <w:szCs w:val="22"/>
    </w:rPr>
  </w:style>
  <w:style w:type="paragraph" w:styleId="Heading4">
    <w:name w:val="Heading 4"/>
    <w:basedOn w:val="Normal"/>
    <w:next w:val="Normal"/>
    <w:qFormat/>
    <w:pPr>
      <w:spacing w:after="60" w:before="120"/>
      <w:outlineLvl w:val="3"/>
    </w:pPr>
    <w:rPr>
      <w:rFonts w:ascii="Calibri" w:cs="Calibri" w:eastAsia="Calibri" w:hAnsi="Calibri"/>
      <w:b/>
      <w:bCs/>
      <w:i/>
      <w:iCs/>
      <w:color w:val="404040"/>
      <w:sz w:val="22"/>
      <w:szCs w:val="22"/>
    </w:rPr>
  </w:style>
  <w:style w:type="paragraph" w:styleId="Quote">
    <w:name w:val="Quote"/>
    <w:basedOn w:val="Normal"/>
    <w:next w:val="Normal"/>
    <w:qFormat/>
    <w:pPr>
      <w:spacing w:after="120" w:before="120"/>
      <w:ind w:left="720" w:right="720"/>
    </w:pPr>
    <w:rPr>
      <w:rFonts w:ascii="Calibri" w:cs="Calibri" w:eastAsia="Calibri" w:hAnsi="Calibri"/>
      <w:i/>
      <w:iCs/>
      <w:color w:val="4040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2026-04-25T19:09:03.545Z</dcterms:created>
  <dcterms:modified xsi:type="dcterms:W3CDTF">2026-04-25T19:09:03.545Z</dcterms:modified>
</cp:coreProperties>
</file>

<file path=docProps/custom.xml><?xml version="1.0" encoding="utf-8"?>
<Properties xmlns="http://schemas.openxmlformats.org/officeDocument/2006/custom-properties" xmlns:vt="http://schemas.openxmlformats.org/officeDocument/2006/docPropsVTypes"/>
</file>