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0"/>
      </w:pPr>
      <w:r>
        <w:rPr>
          <w:rFonts w:ascii="Consolas" w:hAnsi="Consolas"/>
          <w:color w:val="1F5FD6"/>
          <w:sz w:val="16"/>
        </w:rPr>
        <w:t>TRACK B  ·  CONTRACT REDLINING</w:t>
      </w:r>
    </w:p>
    <w:p>
      <w:pPr>
        <w:pStyle w:val="Heading1"/>
      </w:pPr>
      <w:r>
        <w:t>Reading a vendor's contract against your own rules</w:t>
      </w:r>
    </w:p>
    <w:p>
      <w:pPr>
        <w:spacing w:after="200"/>
      </w:pPr>
      <w:r>
        <w:rPr>
          <w:rFonts w:ascii="Segoe UI" w:hAnsi="Segoe UI"/>
          <w:b w:val="0"/>
          <w:i w:val="0"/>
          <w:color w:val="4A5668"/>
          <w:sz w:val="23"/>
        </w:rPr>
        <w:t>An agent that reads a counterparty contract clause by clause, checks it against the Zycus playbook, drafts replacement language for what fails, and says plainly which findings it cannot stand behind.</w:t>
      </w:r>
    </w:p>
    <w:p>
      <w:pPr>
        <w:spacing w:after="280"/>
      </w:pPr>
      <w:r>
        <w:rPr>
          <w:rFonts w:ascii="Consolas" w:hAnsi="Consolas"/>
          <w:b w:val="0"/>
          <w:i w:val="0"/>
          <w:color w:val="4A5668"/>
          <w:sz w:val="18"/>
        </w:rPr>
        <w:t>FastAPI + React  ·  six-step pipeline  ·  three deterministic tools and three model steps  ·  132 tests  ·  about six seconds per review  ·  PDF and Word upload  ·  Postgres audit trail</w:t>
      </w:r>
    </w:p>
    <w:p>
      <w:pPr>
        <w:pStyle w:val="Heading2"/>
      </w:pPr>
      <w:r>
        <w:t>1.  The problem</w:t>
      </w:r>
    </w:p>
    <w:p>
      <w:pPr>
        <w:spacing w:after="160"/>
      </w:pPr>
      <w:r>
        <w:rPr>
          <w:rFonts w:ascii="Segoe UI" w:hAnsi="Segoe UI"/>
          <w:b w:val="0"/>
          <w:i w:val="0"/>
          <w:color w:val="16202E"/>
          <w:sz w:val="21"/>
        </w:rPr>
        <w:t>Northwind's draft breaches the playbook in seven places across six clauses. A reviewer has to find every one, decide which are worth escalating, and write the replacement wording. Missing one is not a smaller version of the job done well: the clause ships.</w:t>
      </w:r>
    </w:p>
    <w:tbl>
      <w:tblPr>
        <w:tblStyle w:val="TableGrid"/>
        <w:tblW w:type="auto" w:w="0"/>
        <w:jc w:val="left"/>
        <w:tblLook w:firstColumn="1" w:firstRow="1" w:lastColumn="0" w:lastRow="0" w:noHBand="0" w:noVBand="1" w:val="04A0"/>
      </w:tblPr>
      <w:tblGrid>
        <w:gridCol w:w="3120"/>
        <w:gridCol w:w="3120"/>
        <w:gridCol w:w="3120"/>
      </w:tblGrid>
      <w:tr>
        <w:tc>
          <w:tcPr>
            <w:tcW w:type="dxa" w:w="3888"/>
            <w:shd w:val="clear" w:fill="F0F3F7"/>
          </w:tcPr>
          <w:p>
            <w:r/>
            <w:r>
              <w:rPr>
                <w:rFonts w:ascii="Segoe UI" w:hAnsi="Segoe UI"/>
                <w:b/>
                <w:sz w:val="18"/>
              </w:rPr>
              <w:t>Playbook rule</w:t>
            </w:r>
          </w:p>
        </w:tc>
        <w:tc>
          <w:tcPr>
            <w:tcW w:type="dxa" w:w="3312"/>
            <w:shd w:val="clear" w:fill="F0F3F7"/>
          </w:tcPr>
          <w:p>
            <w:r/>
            <w:r>
              <w:rPr>
                <w:rFonts w:ascii="Segoe UI" w:hAnsi="Segoe UI"/>
                <w:b/>
                <w:sz w:val="18"/>
              </w:rPr>
              <w:t>Threshold</w:t>
            </w:r>
          </w:p>
        </w:tc>
        <w:tc>
          <w:tcPr>
            <w:tcW w:type="dxa" w:w="2160"/>
            <w:shd w:val="clear" w:fill="F0F3F7"/>
          </w:tcPr>
          <w:p>
            <w:r/>
            <w:r>
              <w:rPr>
                <w:rFonts w:ascii="Segoe UI" w:hAnsi="Segoe UI"/>
                <w:b/>
                <w:sz w:val="18"/>
              </w:rPr>
              <w:t>Checked by</w:t>
            </w:r>
          </w:p>
        </w:tc>
      </w:tr>
      <w:tr>
        <w:tc>
          <w:tcPr>
            <w:tcW w:type="dxa" w:w="3888"/>
          </w:tcPr>
          <w:p>
            <w:pPr>
              <w:spacing w:after="40"/>
            </w:pPr>
            <w:r/>
            <w:r>
              <w:rPr>
                <w:rFonts w:ascii="Segoe UI" w:hAnsi="Segoe UI"/>
                <w:sz w:val="19"/>
              </w:rPr>
              <w:t>Liability cap</w:t>
            </w:r>
          </w:p>
        </w:tc>
        <w:tc>
          <w:tcPr>
            <w:tcW w:type="dxa" w:w="3312"/>
          </w:tcPr>
          <w:p>
            <w:pPr>
              <w:spacing w:after="40"/>
            </w:pPr>
            <w:r/>
            <w:r>
              <w:rPr>
                <w:rFonts w:ascii="Segoe UI" w:hAnsi="Segoe UI"/>
                <w:sz w:val="19"/>
              </w:rPr>
              <w:t>at least 12 months of fees</w:t>
            </w:r>
          </w:p>
        </w:tc>
        <w:tc>
          <w:tcPr>
            <w:tcW w:type="dxa" w:w="2160"/>
          </w:tcPr>
          <w:p>
            <w:pPr>
              <w:spacing w:after="40"/>
            </w:pPr>
            <w:r/>
            <w:r>
              <w:rPr>
                <w:rFonts w:ascii="Segoe UI" w:hAnsi="Segoe UI"/>
                <w:sz w:val="19"/>
              </w:rPr>
              <w:t>arithmetic</w:t>
            </w:r>
          </w:p>
        </w:tc>
      </w:tr>
      <w:tr>
        <w:tc>
          <w:tcPr>
            <w:tcW w:type="dxa" w:w="3888"/>
          </w:tcPr>
          <w:p>
            <w:pPr>
              <w:spacing w:after="40"/>
            </w:pPr>
            <w:r/>
            <w:r>
              <w:rPr>
                <w:rFonts w:ascii="Segoe UI" w:hAnsi="Segoe UI"/>
                <w:sz w:val="19"/>
              </w:rPr>
              <w:t>Termination for convenience notice</w:t>
            </w:r>
          </w:p>
        </w:tc>
        <w:tc>
          <w:tcPr>
            <w:tcW w:type="dxa" w:w="3312"/>
          </w:tcPr>
          <w:p>
            <w:pPr>
              <w:spacing w:after="40"/>
            </w:pPr>
            <w:r/>
            <w:r>
              <w:rPr>
                <w:rFonts w:ascii="Segoe UI" w:hAnsi="Segoe UI"/>
                <w:sz w:val="19"/>
              </w:rPr>
              <w:t>at least 30 days</w:t>
            </w:r>
          </w:p>
        </w:tc>
        <w:tc>
          <w:tcPr>
            <w:tcW w:type="dxa" w:w="2160"/>
          </w:tcPr>
          <w:p>
            <w:pPr>
              <w:spacing w:after="40"/>
            </w:pPr>
            <w:r/>
            <w:r>
              <w:rPr>
                <w:rFonts w:ascii="Segoe UI" w:hAnsi="Segoe UI"/>
                <w:sz w:val="19"/>
              </w:rPr>
              <w:t>arithmetic</w:t>
            </w:r>
          </w:p>
        </w:tc>
      </w:tr>
      <w:tr>
        <w:tc>
          <w:tcPr>
            <w:tcW w:type="dxa" w:w="3888"/>
          </w:tcPr>
          <w:p>
            <w:pPr>
              <w:spacing w:after="40"/>
            </w:pPr>
            <w:r/>
            <w:r>
              <w:rPr>
                <w:rFonts w:ascii="Segoe UI" w:hAnsi="Segoe UI"/>
                <w:sz w:val="19"/>
              </w:rPr>
              <w:t>Auto-renewal notice</w:t>
            </w:r>
          </w:p>
        </w:tc>
        <w:tc>
          <w:tcPr>
            <w:tcW w:type="dxa" w:w="3312"/>
          </w:tcPr>
          <w:p>
            <w:pPr>
              <w:spacing w:after="40"/>
            </w:pPr>
            <w:r/>
            <w:r>
              <w:rPr>
                <w:rFonts w:ascii="Segoe UI" w:hAnsi="Segoe UI"/>
                <w:sz w:val="19"/>
              </w:rPr>
              <w:t>at least 30 days, no penalty</w:t>
            </w:r>
          </w:p>
        </w:tc>
        <w:tc>
          <w:tcPr>
            <w:tcW w:type="dxa" w:w="2160"/>
          </w:tcPr>
          <w:p>
            <w:pPr>
              <w:spacing w:after="40"/>
            </w:pPr>
            <w:r/>
            <w:r>
              <w:rPr>
                <w:rFonts w:ascii="Segoe UI" w:hAnsi="Segoe UI"/>
                <w:sz w:val="19"/>
              </w:rPr>
              <w:t>arithmetic</w:t>
            </w:r>
          </w:p>
        </w:tc>
      </w:tr>
      <w:tr>
        <w:tc>
          <w:tcPr>
            <w:tcW w:type="dxa" w:w="3888"/>
          </w:tcPr>
          <w:p>
            <w:pPr>
              <w:spacing w:after="40"/>
            </w:pPr>
            <w:r/>
            <w:r>
              <w:rPr>
                <w:rFonts w:ascii="Segoe UI" w:hAnsi="Segoe UI"/>
                <w:sz w:val="19"/>
              </w:rPr>
              <w:t>Payment terms</w:t>
            </w:r>
          </w:p>
        </w:tc>
        <w:tc>
          <w:tcPr>
            <w:tcW w:type="dxa" w:w="3312"/>
          </w:tcPr>
          <w:p>
            <w:pPr>
              <w:spacing w:after="40"/>
            </w:pPr>
            <w:r/>
            <w:r>
              <w:rPr>
                <w:rFonts w:ascii="Segoe UI" w:hAnsi="Segoe UI"/>
                <w:sz w:val="19"/>
              </w:rPr>
              <w:t>Net 30 or longer</w:t>
            </w:r>
          </w:p>
        </w:tc>
        <w:tc>
          <w:tcPr>
            <w:tcW w:type="dxa" w:w="2160"/>
          </w:tcPr>
          <w:p>
            <w:pPr>
              <w:spacing w:after="40"/>
            </w:pPr>
            <w:r/>
            <w:r>
              <w:rPr>
                <w:rFonts w:ascii="Segoe UI" w:hAnsi="Segoe UI"/>
                <w:sz w:val="19"/>
              </w:rPr>
              <w:t>arithmetic</w:t>
            </w:r>
          </w:p>
        </w:tc>
      </w:tr>
      <w:tr>
        <w:tc>
          <w:tcPr>
            <w:tcW w:type="dxa" w:w="3888"/>
          </w:tcPr>
          <w:p>
            <w:pPr>
              <w:spacing w:after="40"/>
            </w:pPr>
            <w:r/>
            <w:r>
              <w:rPr>
                <w:rFonts w:ascii="Segoe UI" w:hAnsi="Segoe UI"/>
                <w:sz w:val="19"/>
              </w:rPr>
              <w:t>Data ownership</w:t>
            </w:r>
          </w:p>
        </w:tc>
        <w:tc>
          <w:tcPr>
            <w:tcW w:type="dxa" w:w="3312"/>
          </w:tcPr>
          <w:p>
            <w:pPr>
              <w:spacing w:after="40"/>
            </w:pPr>
            <w:r/>
            <w:r>
              <w:rPr>
                <w:rFonts w:ascii="Segoe UI" w:hAnsi="Segoe UI"/>
                <w:sz w:val="19"/>
              </w:rPr>
              <w:t>stays with Zycus</w:t>
            </w:r>
          </w:p>
        </w:tc>
        <w:tc>
          <w:tcPr>
            <w:tcW w:type="dxa" w:w="2160"/>
          </w:tcPr>
          <w:p>
            <w:pPr>
              <w:spacing w:after="40"/>
            </w:pPr>
            <w:r/>
            <w:r>
              <w:rPr>
                <w:rFonts w:ascii="Segoe UI" w:hAnsi="Segoe UI"/>
                <w:sz w:val="19"/>
              </w:rPr>
              <w:t>reading</w:t>
            </w:r>
          </w:p>
        </w:tc>
      </w:tr>
      <w:tr>
        <w:tc>
          <w:tcPr>
            <w:tcW w:type="dxa" w:w="3888"/>
          </w:tcPr>
          <w:p>
            <w:pPr>
              <w:spacing w:after="40"/>
            </w:pPr>
            <w:r/>
            <w:r>
              <w:rPr>
                <w:rFonts w:ascii="Segoe UI" w:hAnsi="Segoe UI"/>
                <w:sz w:val="19"/>
              </w:rPr>
              <w:t>Indemnification</w:t>
            </w:r>
          </w:p>
        </w:tc>
        <w:tc>
          <w:tcPr>
            <w:tcW w:type="dxa" w:w="3312"/>
          </w:tcPr>
          <w:p>
            <w:pPr>
              <w:spacing w:after="40"/>
            </w:pPr>
            <w:r/>
            <w:r>
              <w:rPr>
                <w:rFonts w:ascii="Segoe UI" w:hAnsi="Segoe UI"/>
                <w:sz w:val="19"/>
              </w:rPr>
              <w:t>mutual, not one-sided</w:t>
            </w:r>
          </w:p>
        </w:tc>
        <w:tc>
          <w:tcPr>
            <w:tcW w:type="dxa" w:w="2160"/>
          </w:tcPr>
          <w:p>
            <w:pPr>
              <w:spacing w:after="40"/>
            </w:pPr>
            <w:r/>
            <w:r>
              <w:rPr>
                <w:rFonts w:ascii="Segoe UI" w:hAnsi="Segoe UI"/>
                <w:sz w:val="19"/>
              </w:rPr>
              <w:t>reading</w:t>
            </w:r>
          </w:p>
        </w:tc>
      </w:tr>
      <w:tr>
        <w:tc>
          <w:tcPr>
            <w:tcW w:type="dxa" w:w="3888"/>
          </w:tcPr>
          <w:p>
            <w:pPr>
              <w:spacing w:after="40"/>
            </w:pPr>
            <w:r/>
            <w:r>
              <w:rPr>
                <w:rFonts w:ascii="Segoe UI" w:hAnsi="Segoe UI"/>
                <w:sz w:val="19"/>
              </w:rPr>
              <w:t>Governing law</w:t>
            </w:r>
          </w:p>
        </w:tc>
        <w:tc>
          <w:tcPr>
            <w:tcW w:type="dxa" w:w="3312"/>
          </w:tcPr>
          <w:p>
            <w:pPr>
              <w:spacing w:after="40"/>
            </w:pPr>
            <w:r/>
            <w:r>
              <w:rPr>
                <w:rFonts w:ascii="Segoe UI" w:hAnsi="Segoe UI"/>
                <w:sz w:val="19"/>
              </w:rPr>
              <w:t>neutral jurisdiction</w:t>
            </w:r>
          </w:p>
        </w:tc>
        <w:tc>
          <w:tcPr>
            <w:tcW w:type="dxa" w:w="2160"/>
          </w:tcPr>
          <w:p>
            <w:pPr>
              <w:spacing w:after="40"/>
            </w:pPr>
            <w:r/>
            <w:r>
              <w:rPr>
                <w:rFonts w:ascii="Segoe UI" w:hAnsi="Segoe UI"/>
                <w:sz w:val="19"/>
              </w:rPr>
              <w:t>reading</w:t>
            </w:r>
          </w:p>
        </w:tc>
      </w:tr>
    </w:tbl>
    <w:p>
      <w:pPr>
        <w:spacing w:after="40"/>
      </w:pPr>
    </w:p>
    <w:p>
      <w:pPr>
        <w:spacing w:after="160"/>
      </w:pPr>
      <w:r>
        <w:rPr>
          <w:rFonts w:ascii="Segoe UI" w:hAnsi="Segoe UI"/>
          <w:b w:val="0"/>
          <w:i w:val="0"/>
          <w:color w:val="16202E"/>
          <w:sz w:val="21"/>
        </w:rPr>
        <w:t>Four rules turn on a number, so they can be settled by arithmetic. Three turn on what the words mean, and only those need a model. The system is built around that split.</w:t>
      </w:r>
    </w:p>
    <w:p>
      <w:pPr>
        <w:pStyle w:val="Heading2"/>
      </w:pPr>
      <w:r>
        <w:t>2.  Architecture</w:t>
      </w:r>
    </w:p>
    <w:p>
      <w:pPr>
        <w:spacing w:after="160"/>
      </w:pPr>
      <w:r>
        <w:rPr>
          <w:rFonts w:ascii="Segoe UI" w:hAnsi="Segoe UI"/>
          <w:b w:val="0"/>
          <w:i w:val="0"/>
          <w:color w:val="16202E"/>
          <w:sz w:val="21"/>
        </w:rPr>
        <w:t>One endpoint runs a fixed pipeline of six steps. Each step is a single module, so the diagram and the directory listing are the same thing. Steps 4 and 5 fan out concurrently, which is what keeps a full review at roughly six seconds rather than a minute.</w:t>
      </w:r>
    </w:p>
    <w:p>
      <w:pPr>
        <w:spacing w:after="80"/>
        <w:jc w:val="center"/>
      </w:pPr>
      <w:r>
        <w:drawing>
          <wp:inline xmlns:a="http://schemas.openxmlformats.org/drawingml/2006/main" xmlns:pic="http://schemas.openxmlformats.org/drawingml/2006/picture">
            <wp:extent cx="5394960" cy="3144268"/>
            <wp:docPr id="1" name="Picture 1"/>
            <wp:cNvGraphicFramePr>
              <a:graphicFrameLocks noChangeAspect="1"/>
            </wp:cNvGraphicFramePr>
            <a:graphic>
              <a:graphicData uri="http://schemas.openxmlformats.org/drawingml/2006/picture">
                <pic:pic>
                  <pic:nvPicPr>
                    <pic:cNvPr id="0" name="diagram-hi.png"/>
                    <pic:cNvPicPr/>
                  </pic:nvPicPr>
                  <pic:blipFill>
                    <a:blip r:embed="rId9"/>
                    <a:stretch>
                      <a:fillRect/>
                    </a:stretch>
                  </pic:blipFill>
                  <pic:spPr>
                    <a:xfrm>
                      <a:off x="0" y="0"/>
                      <a:ext cx="5394960" cy="3144268"/>
                    </a:xfrm>
                    <a:prstGeom prst="rect"/>
                  </pic:spPr>
                </pic:pic>
              </a:graphicData>
            </a:graphic>
          </wp:inline>
        </w:drawing>
      </w:r>
    </w:p>
    <w:p>
      <w:pPr>
        <w:spacing w:after="240"/>
        <w:jc w:val="center"/>
      </w:pPr>
      <w:r>
        <w:rPr>
          <w:i/>
          <w:color w:val="4A5668"/>
          <w:sz w:val="17"/>
        </w:rPr>
        <w:t>Solid boxes are deterministic Python; dashed boxes are model calls returning structured JSON.</w:t>
      </w:r>
    </w:p>
    <w:p>
      <w:pPr>
        <w:spacing w:after="160"/>
      </w:pPr>
      <w:r>
        <w:rPr>
          <w:rFonts w:ascii="Segoe UI" w:hAnsi="Segoe UI"/>
          <w:b w:val="0"/>
          <w:i w:val="0"/>
          <w:color w:val="16202E"/>
          <w:sz w:val="21"/>
        </w:rPr>
        <w:t>Two decisions are worth calling out. The numeric gate runs before the model rather than as a tool the model chooses to call, so when it produces a verdict that verdict is arithmetic and involves no model judgment at all. And rule matching is model-based rather than a keyword table, because a keyword map would work on the shipped sample and silently match nothing the moment someone pastes a different contract.</w:t>
      </w:r>
    </w:p>
    <w:p>
      <w:pPr>
        <w:pStyle w:val="Heading2"/>
      </w:pPr>
      <w:r>
        <w:t>3.  The product</w:t>
      </w:r>
    </w:p>
    <w:p>
      <w:pPr>
        <w:spacing w:after="160"/>
      </w:pPr>
      <w:r>
        <w:rPr>
          <w:rFonts w:ascii="Segoe UI" w:hAnsi="Segoe UI"/>
          <w:b w:val="0"/>
          <w:i w:val="0"/>
          <w:color w:val="16202E"/>
          <w:sz w:val="21"/>
        </w:rPr>
        <w:t>Findings are grouped by what the reviewer should do with them, not by clause order, so items the agent declined to act on appear first. Each card carries the arithmetic or the quoted wording the verdict rests on, which means a finding can be checked without opening the contract.</w:t>
      </w:r>
    </w:p>
    <w:p>
      <w:pPr>
        <w:spacing w:after="80"/>
        <w:jc w:val="center"/>
      </w:pPr>
      <w:r>
        <w:drawing>
          <wp:inline xmlns:a="http://schemas.openxmlformats.org/drawingml/2006/main" xmlns:pic="http://schemas.openxmlformats.org/drawingml/2006/picture">
            <wp:extent cx="5852160" cy="3667354"/>
            <wp:docPr id="2" name="Picture 2"/>
            <wp:cNvGraphicFramePr>
              <a:graphicFrameLocks noChangeAspect="1"/>
            </wp:cNvGraphicFramePr>
            <a:graphic>
              <a:graphicData uri="http://schemas.openxmlformats.org/drawingml/2006/picture">
                <pic:pic>
                  <pic:nvPicPr>
                    <pic:cNvPr id="0" name="new-shell.png"/>
                    <pic:cNvPicPr/>
                  </pic:nvPicPr>
                  <pic:blipFill>
                    <a:blip r:embed="rId10"/>
                    <a:stretch>
                      <a:fillRect/>
                    </a:stretch>
                  </pic:blipFill>
                  <pic:spPr>
                    <a:xfrm>
                      <a:off x="0" y="0"/>
                      <a:ext cx="5852160" cy="3667354"/>
                    </a:xfrm>
                    <a:prstGeom prst="rect"/>
                  </pic:spPr>
                </pic:pic>
              </a:graphicData>
            </a:graphic>
          </wp:inline>
        </w:drawing>
      </w:r>
    </w:p>
    <w:p>
      <w:pPr>
        <w:spacing w:after="240"/>
        <w:jc w:val="center"/>
      </w:pPr>
      <w:r>
        <w:rPr>
          <w:i/>
          <w:color w:val="4A5668"/>
          <w:sz w:val="17"/>
        </w:rPr>
        <w:t>The application: playbook and audit trail in the rail, an uploaded PDF read into the editor, and the review summarised with filters.</w:t>
      </w:r>
    </w:p>
    <w:p>
      <w:pPr>
        <w:spacing w:after="80"/>
        <w:jc w:val="center"/>
      </w:pPr>
      <w:r>
        <w:drawing>
          <wp:inline xmlns:a="http://schemas.openxmlformats.org/drawingml/2006/main" xmlns:pic="http://schemas.openxmlformats.org/drawingml/2006/picture">
            <wp:extent cx="5852160" cy="2153595"/>
            <wp:docPr id="3" name="Picture 3"/>
            <wp:cNvGraphicFramePr>
              <a:graphicFrameLocks noChangeAspect="1"/>
            </wp:cNvGraphicFramePr>
            <a:graphic>
              <a:graphicData uri="http://schemas.openxmlformats.org/drawingml/2006/picture">
                <pic:pic>
                  <pic:nvPicPr>
                    <pic:cNvPr id="0" name="new-verified.png"/>
                    <pic:cNvPicPr/>
                  </pic:nvPicPr>
                  <pic:blipFill>
                    <a:blip r:embed="rId11"/>
                    <a:stretch>
                      <a:fillRect/>
                    </a:stretch>
                  </pic:blipFill>
                  <pic:spPr>
                    <a:xfrm>
                      <a:off x="0" y="0"/>
                      <a:ext cx="5852160" cy="2153595"/>
                    </a:xfrm>
                    <a:prstGeom prst="rect"/>
                  </pic:spPr>
                </pic:pic>
              </a:graphicData>
            </a:graphic>
          </wp:inline>
        </w:drawing>
      </w:r>
    </w:p>
    <w:p>
      <w:pPr>
        <w:spacing w:after="240"/>
        <w:jc w:val="center"/>
      </w:pPr>
      <w:r>
        <w:rPr>
          <w:i/>
          <w:color w:val="4A5668"/>
          <w:sz w:val="17"/>
        </w:rPr>
        <w:t>Net 15 against a Net 30 floor, with the vendor's language beside the proposed replacement.</w:t>
      </w:r>
    </w:p>
    <w:p>
      <w:pPr>
        <w:pStyle w:val="Heading2"/>
      </w:pPr>
      <w:r>
        <w:t>4.  What broke</w:t>
      </w:r>
    </w:p>
    <w:p>
      <w:pPr>
        <w:spacing w:after="160"/>
      </w:pPr>
      <w:r>
        <w:rPr>
          <w:rFonts w:ascii="Segoe UI" w:hAnsi="Segoe UI"/>
          <w:b w:val="0"/>
          <w:i w:val="0"/>
          <w:color w:val="16202E"/>
          <w:sz w:val="21"/>
        </w:rPr>
        <w:t>Both bugs were found by running the pipeline against the sample data and reading the output, not by a crash. Neither would have been caught by asking whether the system returns findings.</w:t>
      </w:r>
    </w:p>
    <w:p>
      <w:pPr>
        <w:pStyle w:val="Heading3"/>
      </w:pPr>
      <w:r>
        <w:t>Bug 1 — two redlines on one clause, each undoing the other</w:t>
      </w:r>
    </w:p>
    <w:p>
      <w:pPr>
        <w:spacing w:after="160"/>
      </w:pPr>
      <w:r>
        <w:rPr>
          <w:rFonts w:ascii="Segoe UI" w:hAnsi="Segoe UI"/>
          <w:b w:val="0"/>
          <w:i w:val="0"/>
          <w:color w:val="16202E"/>
          <w:sz w:val="21"/>
        </w:rPr>
        <w:t>Clause 1 breaches two rules at once: a 10-day non-renewal notice and a 7-day termination notice, both short of the 30-day minimum. Drafting ran per clause-rule pair, so it produced two separate replacements. Because each replacement rewrites the whole clause, they were mutually exclusive:</w:t>
      </w:r>
    </w:p>
    <w:p>
      <w:pPr>
        <w:pStyle w:val="ListBullet"/>
        <w:spacing w:after="80"/>
      </w:pPr>
      <w:r>
        <w:rPr>
          <w:rFonts w:ascii="Segoe UI" w:hAnsi="Segoe UI"/>
          <w:b/>
          <w:sz w:val="21"/>
        </w:rPr>
        <w:t xml:space="preserve">The auto-renewal redline </w:t>
      </w:r>
      <w:r>
        <w:rPr>
          <w:rFonts w:ascii="Segoe UI" w:hAnsi="Segoe UI"/>
          <w:sz w:val="21"/>
        </w:rPr>
        <w:t>fixed 10 to 30 days and kept “terminate for convenience upon 7 days”.</w:t>
      </w:r>
    </w:p>
    <w:p>
      <w:pPr>
        <w:pStyle w:val="ListBullet"/>
        <w:spacing w:after="80"/>
      </w:pPr>
      <w:r>
        <w:rPr>
          <w:rFonts w:ascii="Segoe UI" w:hAnsi="Segoe UI"/>
          <w:b/>
          <w:sz w:val="21"/>
        </w:rPr>
        <w:t xml:space="preserve">The termination redline </w:t>
      </w:r>
      <w:r>
        <w:rPr>
          <w:rFonts w:ascii="Segoe UI" w:hAnsi="Segoe UI"/>
          <w:sz w:val="21"/>
        </w:rPr>
        <w:t>fixed 7 to 30 days and kept “non-renewal at least 10 days”.</w:t>
      </w:r>
    </w:p>
    <w:p>
      <w:pPr>
        <w:spacing w:after="160"/>
      </w:pPr>
      <w:r>
        <w:rPr>
          <w:rFonts w:ascii="Segoe UI" w:hAnsi="Segoe UI"/>
          <w:b w:val="0"/>
          <w:i w:val="0"/>
          <w:color w:val="16202E"/>
          <w:sz w:val="21"/>
        </w:rPr>
        <w:t>A reviewer pasting either one would fix one violation and silently ship the other. Every unit test passed throughout, because each redline was individually correct.</w:t>
      </w:r>
    </w:p>
    <w:p>
      <w:pPr>
        <w:spacing w:after="160"/>
      </w:pPr>
      <w:r>
        <w:rPr>
          <w:rFonts w:ascii="Segoe UI" w:hAnsi="Segoe UI"/>
          <w:b w:val="0"/>
          <w:i w:val="0"/>
          <w:color w:val="12664A"/>
          <w:sz w:val="21"/>
        </w:rPr>
        <w:t>Fix: drafting is now grouped by clause, with every breached rule in one call, so a clause gets a single replacement satisfying all of them. A regression test asserts clause 1 yields one text containing neither of the offending values.</w:t>
      </w:r>
    </w:p>
    <w:p>
      <w:pPr>
        <w:pStyle w:val="Heading3"/>
      </w:pPr>
      <w:r>
        <w:t>Bug 2 — the model is a poor judge of its own confidence</w:t>
      </w:r>
    </w:p>
    <w:p>
      <w:pPr>
        <w:spacing w:after="160"/>
      </w:pPr>
      <w:r>
        <w:rPr>
          <w:rFonts w:ascii="Segoe UI" w:hAnsi="Segoe UI"/>
          <w:b w:val="0"/>
          <w:i w:val="0"/>
          <w:color w:val="16202E"/>
          <w:sz w:val="21"/>
        </w:rPr>
        <w:t>The low-confidence branch never fired. Run against a deliberately vague draft, the model reported this:</w:t>
      </w:r>
    </w:p>
    <w:tbl>
      <w:tblPr>
        <w:tblStyle w:val="TableGrid"/>
        <w:tblW w:type="auto" w:w="0"/>
        <w:jc w:val="left"/>
        <w:tblLook w:firstColumn="1" w:firstRow="1" w:lastColumn="0" w:lastRow="0" w:noHBand="0" w:noVBand="1" w:val="04A0"/>
      </w:tblPr>
      <w:tblGrid>
        <w:gridCol w:w="3120"/>
        <w:gridCol w:w="3120"/>
        <w:gridCol w:w="3120"/>
      </w:tblGrid>
      <w:tr>
        <w:tc>
          <w:tcPr>
            <w:tcW w:type="dxa" w:w="5184"/>
            <w:shd w:val="clear" w:fill="F0F3F7"/>
          </w:tcPr>
          <w:p>
            <w:r/>
            <w:r>
              <w:rPr>
                <w:rFonts w:ascii="Segoe UI" w:hAnsi="Segoe UI"/>
                <w:b/>
                <w:sz w:val="18"/>
              </w:rPr>
              <w:t>Wording it quoted as evidence</w:t>
            </w:r>
          </w:p>
        </w:tc>
        <w:tc>
          <w:tcPr>
            <w:tcW w:type="dxa" w:w="1728"/>
            <w:shd w:val="clear" w:fill="F0F3F7"/>
          </w:tcPr>
          <w:p>
            <w:r/>
            <w:r>
              <w:rPr>
                <w:rFonts w:ascii="Segoe UI" w:hAnsi="Segoe UI"/>
                <w:b/>
                <w:sz w:val="18"/>
              </w:rPr>
              <w:t>Confidence</w:t>
            </w:r>
          </w:p>
        </w:tc>
        <w:tc>
          <w:tcPr>
            <w:tcW w:type="dxa" w:w="2448"/>
            <w:shd w:val="clear" w:fill="F0F3F7"/>
          </w:tcPr>
          <w:p>
            <w:r/>
            <w:r>
              <w:rPr>
                <w:rFonts w:ascii="Segoe UI" w:hAnsi="Segoe UI"/>
                <w:b/>
                <w:sz w:val="18"/>
              </w:rPr>
              <w:t>Verdict</w:t>
            </w:r>
          </w:p>
        </w:tc>
      </w:tr>
      <w:tr>
        <w:tc>
          <w:tcPr>
            <w:tcW w:type="dxa" w:w="5184"/>
          </w:tcPr>
          <w:p>
            <w:pPr>
              <w:spacing w:after="40"/>
            </w:pPr>
            <w:r/>
            <w:r>
              <w:rPr>
                <w:rFonts w:ascii="Segoe UI" w:hAnsi="Segoe UI"/>
                <w:sz w:val="19"/>
              </w:rPr>
              <w:t>“a commercially reasonable amount”</w:t>
            </w:r>
          </w:p>
        </w:tc>
        <w:tc>
          <w:tcPr>
            <w:tcW w:type="dxa" w:w="1728"/>
          </w:tcPr>
          <w:p>
            <w:pPr>
              <w:spacing w:after="40"/>
            </w:pPr>
            <w:r/>
            <w:r>
              <w:rPr>
                <w:rFonts w:ascii="Segoe UI" w:hAnsi="Segoe UI"/>
                <w:sz w:val="19"/>
              </w:rPr>
              <w:t>0.80</w:t>
            </w:r>
          </w:p>
        </w:tc>
        <w:tc>
          <w:tcPr>
            <w:tcW w:type="dxa" w:w="2448"/>
          </w:tcPr>
          <w:p>
            <w:pPr>
              <w:spacing w:after="40"/>
            </w:pPr>
            <w:r/>
            <w:r>
              <w:rPr>
                <w:rFonts w:ascii="Segoe UI" w:hAnsi="Segoe UI"/>
                <w:sz w:val="19"/>
              </w:rPr>
              <w:t>violation</w:t>
            </w:r>
          </w:p>
        </w:tc>
      </w:tr>
      <w:tr>
        <w:tc>
          <w:tcPr>
            <w:tcW w:type="dxa" w:w="5184"/>
          </w:tcPr>
          <w:p>
            <w:pPr>
              <w:spacing w:after="40"/>
            </w:pPr>
            <w:r/>
            <w:r>
              <w:rPr>
                <w:rFonts w:ascii="Segoe UI" w:hAnsi="Segoe UI"/>
                <w:sz w:val="19"/>
              </w:rPr>
              <w:t>“reasonable prior written notice, to be determined”</w:t>
            </w:r>
          </w:p>
        </w:tc>
        <w:tc>
          <w:tcPr>
            <w:tcW w:type="dxa" w:w="1728"/>
          </w:tcPr>
          <w:p>
            <w:pPr>
              <w:spacing w:after="40"/>
            </w:pPr>
            <w:r/>
            <w:r>
              <w:rPr>
                <w:rFonts w:ascii="Segoe UI" w:hAnsi="Segoe UI"/>
                <w:sz w:val="19"/>
              </w:rPr>
              <w:t>0.90</w:t>
            </w:r>
          </w:p>
        </w:tc>
        <w:tc>
          <w:tcPr>
            <w:tcW w:type="dxa" w:w="2448"/>
          </w:tcPr>
          <w:p>
            <w:pPr>
              <w:spacing w:after="40"/>
            </w:pPr>
            <w:r/>
            <w:r>
              <w:rPr>
                <w:rFonts w:ascii="Segoe UI" w:hAnsi="Segoe UI"/>
                <w:sz w:val="19"/>
              </w:rPr>
              <w:t>violation</w:t>
            </w:r>
          </w:p>
        </w:tc>
      </w:tr>
      <w:tr>
        <w:tc>
          <w:tcPr>
            <w:tcW w:type="dxa" w:w="5184"/>
          </w:tcPr>
          <w:p>
            <w:pPr>
              <w:spacing w:after="40"/>
            </w:pPr>
            <w:r/>
            <w:r>
              <w:rPr>
                <w:rFonts w:ascii="Segoe UI" w:hAnsi="Segoe UI"/>
                <w:sz w:val="19"/>
              </w:rPr>
              <w:t>“such jurisdiction as the parties may mutually determine”</w:t>
            </w:r>
          </w:p>
        </w:tc>
        <w:tc>
          <w:tcPr>
            <w:tcW w:type="dxa" w:w="1728"/>
          </w:tcPr>
          <w:p>
            <w:pPr>
              <w:spacing w:after="40"/>
            </w:pPr>
            <w:r/>
            <w:r>
              <w:rPr>
                <w:rFonts w:ascii="Segoe UI" w:hAnsi="Segoe UI"/>
                <w:sz w:val="19"/>
              </w:rPr>
              <w:t>0.90</w:t>
            </w:r>
          </w:p>
        </w:tc>
        <w:tc>
          <w:tcPr>
            <w:tcW w:type="dxa" w:w="2448"/>
          </w:tcPr>
          <w:p>
            <w:pPr>
              <w:spacing w:after="40"/>
            </w:pPr>
            <w:r/>
            <w:r>
              <w:rPr>
                <w:rFonts w:ascii="Segoe UI" w:hAnsi="Segoe UI"/>
                <w:sz w:val="19"/>
              </w:rPr>
              <w:t>no violation</w:t>
            </w:r>
          </w:p>
        </w:tc>
      </w:tr>
    </w:tbl>
    <w:p>
      <w:pPr>
        <w:spacing w:after="40"/>
      </w:pPr>
    </w:p>
    <w:p>
      <w:pPr>
        <w:spacing w:after="160"/>
      </w:pPr>
      <w:r>
        <w:rPr>
          <w:rFonts w:ascii="Segoe UI" w:hAnsi="Segoe UI"/>
          <w:b w:val="0"/>
          <w:i w:val="0"/>
          <w:color w:val="16202E"/>
          <w:sz w:val="21"/>
        </w:rPr>
        <w:t>Self-reported confidence clustered at 0.8 to 0.9 no matter how little the clause committed to. The last row is the dangerous one: a clause naming no jurisdiction at all was confidently cleared. A threshold sitting on top of that number inherits its miscalibration, so the uncertainty feature was decorative.</w:t>
      </w:r>
    </w:p>
    <w:p>
      <w:pPr>
        <w:spacing w:after="160"/>
      </w:pPr>
      <w:r>
        <w:rPr>
          <w:rFonts w:ascii="Segoe UI" w:hAnsi="Segoe UI"/>
          <w:b w:val="0"/>
          <w:i w:val="0"/>
          <w:color w:val="12664A"/>
          <w:sz w:val="21"/>
        </w:rPr>
        <w:t>Fix: the model no longer judges its own certainty in either direction. Arithmetic already overrode confidence upward; a deterministic vagueness check now overrides it downward. When a clause defers its substance to an outside standard, no verdict can be read off the text, so it goes to a human whatever the model claims.</w:t>
      </w:r>
    </w:p>
    <w:tbl>
      <w:tblPr>
        <w:tblStyle w:val="TableGrid"/>
        <w:tblW w:type="auto" w:w="0"/>
        <w:jc w:val="left"/>
        <w:tblLook w:firstColumn="1" w:firstRow="1" w:lastColumn="0" w:lastRow="0" w:noHBand="0" w:noVBand="1" w:val="04A0"/>
      </w:tblPr>
      <w:tblGrid>
        <w:gridCol w:w="3120"/>
        <w:gridCol w:w="3120"/>
        <w:gridCol w:w="3120"/>
      </w:tblGrid>
      <w:tr>
        <w:tc>
          <w:tcPr>
            <w:tcW w:type="dxa" w:w="1728"/>
            <w:shd w:val="clear" w:fill="F0F3F7"/>
          </w:tcPr>
          <w:p>
            <w:r/>
            <w:r>
              <w:rPr>
                <w:rFonts w:ascii="Segoe UI" w:hAnsi="Segoe UI"/>
                <w:b/>
                <w:sz w:val="18"/>
              </w:rPr>
            </w:r>
          </w:p>
        </w:tc>
        <w:tc>
          <w:tcPr>
            <w:tcW w:type="dxa" w:w="3744"/>
            <w:shd w:val="clear" w:fill="F0F3F7"/>
          </w:tcPr>
          <w:p>
            <w:r/>
            <w:r>
              <w:rPr>
                <w:rFonts w:ascii="Segoe UI" w:hAnsi="Segoe UI"/>
                <w:b/>
                <w:sz w:val="18"/>
              </w:rPr>
              <w:t>Sample contract</w:t>
            </w:r>
          </w:p>
        </w:tc>
        <w:tc>
          <w:tcPr>
            <w:tcW w:type="dxa" w:w="3744"/>
            <w:shd w:val="clear" w:fill="F0F3F7"/>
          </w:tcPr>
          <w:p>
            <w:r/>
            <w:r>
              <w:rPr>
                <w:rFonts w:ascii="Segoe UI" w:hAnsi="Segoe UI"/>
                <w:b/>
                <w:sz w:val="18"/>
              </w:rPr>
              <w:t>Vague draft</w:t>
            </w:r>
          </w:p>
        </w:tc>
      </w:tr>
      <w:tr>
        <w:tc>
          <w:tcPr>
            <w:tcW w:type="dxa" w:w="1728"/>
          </w:tcPr>
          <w:p>
            <w:pPr>
              <w:spacing w:after="40"/>
            </w:pPr>
            <w:r/>
            <w:r>
              <w:rPr>
                <w:rFonts w:ascii="Segoe UI" w:hAnsi="Segoe UI"/>
                <w:sz w:val="19"/>
              </w:rPr>
              <w:t>Before</w:t>
            </w:r>
          </w:p>
        </w:tc>
        <w:tc>
          <w:tcPr>
            <w:tcW w:type="dxa" w:w="3744"/>
          </w:tcPr>
          <w:p>
            <w:pPr>
              <w:spacing w:after="40"/>
            </w:pPr>
            <w:r/>
            <w:r>
              <w:rPr>
                <w:rFonts w:ascii="Segoe UI" w:hAnsi="Segoe UI"/>
                <w:sz w:val="19"/>
              </w:rPr>
              <w:t>7 auto-suggested, 0 flagged</w:t>
            </w:r>
          </w:p>
        </w:tc>
        <w:tc>
          <w:tcPr>
            <w:tcW w:type="dxa" w:w="3744"/>
          </w:tcPr>
          <w:p>
            <w:pPr>
              <w:spacing w:after="40"/>
            </w:pPr>
            <w:r/>
            <w:r>
              <w:rPr>
                <w:rFonts w:ascii="Segoe UI" w:hAnsi="Segoe UI"/>
                <w:sz w:val="19"/>
              </w:rPr>
              <w:t>4 auto-suggested, 0 flagged</w:t>
            </w:r>
          </w:p>
        </w:tc>
      </w:tr>
      <w:tr>
        <w:tc>
          <w:tcPr>
            <w:tcW w:type="dxa" w:w="1728"/>
          </w:tcPr>
          <w:p>
            <w:pPr>
              <w:spacing w:after="40"/>
            </w:pPr>
            <w:r/>
            <w:r>
              <w:rPr>
                <w:rFonts w:ascii="Segoe UI" w:hAnsi="Segoe UI"/>
                <w:sz w:val="19"/>
              </w:rPr>
              <w:t>After</w:t>
            </w:r>
          </w:p>
        </w:tc>
        <w:tc>
          <w:tcPr>
            <w:tcW w:type="dxa" w:w="3744"/>
          </w:tcPr>
          <w:p>
            <w:pPr>
              <w:spacing w:after="40"/>
            </w:pPr>
            <w:r/>
            <w:r>
              <w:rPr>
                <w:rFonts w:ascii="Segoe UI" w:hAnsi="Segoe UI"/>
                <w:sz w:val="19"/>
              </w:rPr>
              <w:t>7 auto-suggested, 0 flagged</w:t>
            </w:r>
          </w:p>
        </w:tc>
        <w:tc>
          <w:tcPr>
            <w:tcW w:type="dxa" w:w="3744"/>
          </w:tcPr>
          <w:p>
            <w:pPr>
              <w:spacing w:after="40"/>
            </w:pPr>
            <w:r/>
            <w:r>
              <w:rPr>
                <w:rFonts w:ascii="Segoe UI" w:hAnsi="Segoe UI"/>
                <w:sz w:val="19"/>
              </w:rPr>
              <w:t>0 auto-suggested, 5 flagged</w:t>
            </w:r>
          </w:p>
        </w:tc>
      </w:tr>
    </w:tbl>
    <w:p>
      <w:pPr>
        <w:spacing w:after="40"/>
      </w:pPr>
    </w:p>
    <w:p>
      <w:pPr>
        <w:pStyle w:val="Heading2"/>
      </w:pPr>
      <w:r>
        <w:t>5.  The uncertainty decision</w:t>
      </w:r>
    </w:p>
    <w:p>
      <w:pPr>
        <w:spacing w:after="160"/>
      </w:pPr>
      <w:r>
        <w:rPr>
          <w:rFonts w:ascii="Segoe UI" w:hAnsi="Segoe UI"/>
          <w:b w:val="0"/>
          <w:i w:val="0"/>
          <w:color w:val="16202E"/>
          <w:sz w:val="21"/>
        </w:rPr>
        <w:t>The deliberate call: a finding's tier is decided in Python from what kind of evidence exists, never from the model's own estimate. That is what makes the top tier mean something.</w:t>
      </w:r>
    </w:p>
    <w:tbl>
      <w:tblPr>
        <w:tblStyle w:val="TableGrid"/>
        <w:tblW w:type="auto" w:w="0"/>
        <w:jc w:val="left"/>
        <w:tblLook w:firstColumn="1" w:firstRow="1" w:lastColumn="0" w:lastRow="0" w:noHBand="0" w:noVBand="1" w:val="04A0"/>
      </w:tblPr>
      <w:tblGrid>
        <w:gridCol w:w="3120"/>
        <w:gridCol w:w="3120"/>
        <w:gridCol w:w="3120"/>
      </w:tblGrid>
      <w:tr>
        <w:tc>
          <w:tcPr>
            <w:tcW w:type="dxa" w:w="1296"/>
            <w:shd w:val="clear" w:fill="F0F3F7"/>
          </w:tcPr>
          <w:p>
            <w:r/>
            <w:r>
              <w:rPr>
                <w:rFonts w:ascii="Segoe UI" w:hAnsi="Segoe UI"/>
                <w:b/>
                <w:sz w:val="18"/>
              </w:rPr>
              <w:t>Tier</w:t>
            </w:r>
          </w:p>
        </w:tc>
        <w:tc>
          <w:tcPr>
            <w:tcW w:type="dxa" w:w="4608"/>
            <w:shd w:val="clear" w:fill="F0F3F7"/>
          </w:tcPr>
          <w:p>
            <w:r/>
            <w:r>
              <w:rPr>
                <w:rFonts w:ascii="Segoe UI" w:hAnsi="Segoe UI"/>
                <w:b/>
                <w:sz w:val="18"/>
              </w:rPr>
              <w:t>What it rests on</w:t>
            </w:r>
          </w:p>
        </w:tc>
        <w:tc>
          <w:tcPr>
            <w:tcW w:type="dxa" w:w="3456"/>
            <w:shd w:val="clear" w:fill="F0F3F7"/>
          </w:tcPr>
          <w:p>
            <w:r/>
            <w:r>
              <w:rPr>
                <w:rFonts w:ascii="Segoe UI" w:hAnsi="Segoe UI"/>
                <w:b/>
                <w:sz w:val="18"/>
              </w:rPr>
              <w:t>What happens</w:t>
            </w:r>
          </w:p>
        </w:tc>
      </w:tr>
      <w:tr>
        <w:tc>
          <w:tcPr>
            <w:tcW w:type="dxa" w:w="1296"/>
          </w:tcPr>
          <w:p>
            <w:pPr>
              <w:spacing w:after="40"/>
            </w:pPr>
            <w:r/>
            <w:r>
              <w:rPr>
                <w:rFonts w:ascii="Segoe UI" w:hAnsi="Segoe UI"/>
                <w:sz w:val="19"/>
              </w:rPr>
              <w:t>High</w:t>
            </w:r>
          </w:p>
        </w:tc>
        <w:tc>
          <w:tcPr>
            <w:tcW w:type="dxa" w:w="4608"/>
          </w:tcPr>
          <w:p>
            <w:pPr>
              <w:spacing w:after="40"/>
            </w:pPr>
            <w:r/>
            <w:r>
              <w:rPr>
                <w:rFonts w:ascii="Segoe UI" w:hAnsi="Segoe UI"/>
                <w:sz w:val="19"/>
              </w:rPr>
              <w:t>A number extracted and compared to the threshold</w:t>
            </w:r>
          </w:p>
        </w:tc>
        <w:tc>
          <w:tcPr>
            <w:tcW w:type="dxa" w:w="3456"/>
          </w:tcPr>
          <w:p>
            <w:pPr>
              <w:spacing w:after="40"/>
            </w:pPr>
            <w:r/>
            <w:r>
              <w:rPr>
                <w:rFonts w:ascii="Segoe UI" w:hAnsi="Segoe UI"/>
                <w:sz w:val="19"/>
              </w:rPr>
              <w:t>Auto-suggest the redline</w:t>
            </w:r>
          </w:p>
        </w:tc>
      </w:tr>
      <w:tr>
        <w:tc>
          <w:tcPr>
            <w:tcW w:type="dxa" w:w="1296"/>
          </w:tcPr>
          <w:p>
            <w:pPr>
              <w:spacing w:after="40"/>
            </w:pPr>
            <w:r/>
            <w:r>
              <w:rPr>
                <w:rFonts w:ascii="Segoe UI" w:hAnsi="Segoe UI"/>
                <w:sz w:val="19"/>
              </w:rPr>
              <w:t>Medium</w:t>
            </w:r>
          </w:p>
        </w:tc>
        <w:tc>
          <w:tcPr>
            <w:tcW w:type="dxa" w:w="4608"/>
          </w:tcPr>
          <w:p>
            <w:pPr>
              <w:spacing w:after="40"/>
            </w:pPr>
            <w:r/>
            <w:r>
              <w:rPr>
                <w:rFonts w:ascii="Segoe UI" w:hAnsi="Segoe UI"/>
                <w:sz w:val="19"/>
              </w:rPr>
              <w:t>Unambiguous wording the model quoted</w:t>
            </w:r>
          </w:p>
        </w:tc>
        <w:tc>
          <w:tcPr>
            <w:tcW w:type="dxa" w:w="3456"/>
          </w:tcPr>
          <w:p>
            <w:pPr>
              <w:spacing w:after="40"/>
            </w:pPr>
            <w:r/>
            <w:r>
              <w:rPr>
                <w:rFonts w:ascii="Segoe UI" w:hAnsi="Segoe UI"/>
                <w:sz w:val="19"/>
              </w:rPr>
              <w:t>Auto-suggest, marked for a look</w:t>
            </w:r>
          </w:p>
        </w:tc>
      </w:tr>
      <w:tr>
        <w:tc>
          <w:tcPr>
            <w:tcW w:type="dxa" w:w="1296"/>
          </w:tcPr>
          <w:p>
            <w:pPr>
              <w:spacing w:after="40"/>
            </w:pPr>
            <w:r/>
            <w:r>
              <w:rPr>
                <w:rFonts w:ascii="Segoe UI" w:hAnsi="Segoe UI"/>
                <w:sz w:val="19"/>
              </w:rPr>
              <w:t>Low</w:t>
            </w:r>
          </w:p>
        </w:tc>
        <w:tc>
          <w:tcPr>
            <w:tcW w:type="dxa" w:w="4608"/>
          </w:tcPr>
          <w:p>
            <w:pPr>
              <w:spacing w:after="40"/>
            </w:pPr>
            <w:r/>
            <w:r>
              <w:rPr>
                <w:rFonts w:ascii="Segoe UI" w:hAnsi="Segoe UI"/>
                <w:sz w:val="19"/>
              </w:rPr>
              <w:t>Hedged wording, or a claim with nothing quoted</w:t>
            </w:r>
          </w:p>
        </w:tc>
        <w:tc>
          <w:tcPr>
            <w:tcW w:type="dxa" w:w="3456"/>
          </w:tcPr>
          <w:p>
            <w:pPr>
              <w:spacing w:after="40"/>
            </w:pPr>
            <w:r/>
            <w:r>
              <w:rPr>
                <w:rFonts w:ascii="Segoe UI" w:hAnsi="Segoe UI"/>
                <w:sz w:val="19"/>
              </w:rPr>
              <w:t>Flag for a human, no suggestion</w:t>
            </w:r>
          </w:p>
        </w:tc>
      </w:tr>
    </w:tbl>
    <w:p>
      <w:pPr>
        <w:spacing w:after="40"/>
      </w:pPr>
    </w:p>
    <w:p>
      <w:pPr>
        <w:spacing w:after="160"/>
      </w:pPr>
      <w:r>
        <w:rPr>
          <w:rFonts w:ascii="Segoe UI" w:hAnsi="Segoe UI"/>
          <w:b w:val="0"/>
          <w:i w:val="0"/>
          <w:color w:val="16202E"/>
          <w:sz w:val="21"/>
        </w:rPr>
        <w:t>Three guardrails follow from that:</w:t>
      </w:r>
    </w:p>
    <w:p>
      <w:pPr>
        <w:pStyle w:val="ListBullet"/>
        <w:spacing w:after="80"/>
      </w:pPr>
      <w:r>
        <w:rPr>
          <w:rFonts w:ascii="Segoe UI" w:hAnsi="Segoe UI"/>
          <w:b/>
          <w:sz w:val="21"/>
        </w:rPr>
        <w:t xml:space="preserve">A low-confidence pass is not an approval. </w:t>
      </w:r>
      <w:r>
        <w:rPr>
          <w:rFonts w:ascii="Segoe UI" w:hAnsi="Segoe UI"/>
          <w:sz w:val="21"/>
        </w:rPr>
        <w:t>“Probably fine” is routed to a human, because silently approving is the failure this tool exists to prevent.</w:t>
      </w:r>
    </w:p>
    <w:p>
      <w:pPr>
        <w:pStyle w:val="ListBullet"/>
        <w:spacing w:after="80"/>
      </w:pPr>
      <w:r>
        <w:rPr>
          <w:rFonts w:ascii="Segoe UI" w:hAnsi="Segoe UI"/>
          <w:b/>
          <w:sz w:val="21"/>
        </w:rPr>
        <w:t xml:space="preserve">A deviation asserted without a supporting quote is downgraded, </w:t>
      </w:r>
      <w:r>
        <w:rPr>
          <w:rFonts w:ascii="Segoe UI" w:hAnsi="Segoe UI"/>
          <w:sz w:val="21"/>
        </w:rPr>
        <w:t>however confident the model claims to be, since a reviewer cannot verify it at a glance.</w:t>
      </w:r>
    </w:p>
    <w:p>
      <w:pPr>
        <w:pStyle w:val="ListBullet"/>
        <w:spacing w:after="80"/>
      </w:pPr>
      <w:r>
        <w:rPr>
          <w:rFonts w:ascii="Segoe UI" w:hAnsi="Segoe UI"/>
          <w:b/>
          <w:sz w:val="21"/>
        </w:rPr>
        <w:t xml:space="preserve">A clause no rule covers is reported as uncovered rather than compliant, </w:t>
      </w:r>
      <w:r>
        <w:rPr>
          <w:rFonts w:ascii="Segoe UI" w:hAnsi="Segoe UI"/>
          <w:sz w:val="21"/>
        </w:rPr>
        <w:t>which also surfaces gaps in the playbook itself.</w:t>
      </w:r>
    </w:p>
    <w:p>
      <w:pPr>
        <w:spacing w:after="160"/>
      </w:pPr>
      <w:r>
        <w:rPr>
          <w:rFonts w:ascii="Segoe UI" w:hAnsi="Segoe UI"/>
          <w:b w:val="0"/>
          <w:i w:val="0"/>
          <w:color w:val="16202E"/>
          <w:sz w:val="21"/>
        </w:rPr>
        <w:t>Confidence and severity are kept as separate axes on purpose. Collapsing them into one risk score would hide the two cases that matter most: certain but minor, and uncertain but serious. Over-flagging is the safe error here, because a false flag costs a reviewer a glance while a false pass is a clause nobody read, signed.</w:t>
      </w:r>
    </w:p>
    <w:p>
      <w:pPr>
        <w:spacing w:after="80"/>
        <w:jc w:val="center"/>
      </w:pPr>
      <w:r>
        <w:drawing>
          <wp:inline xmlns:a="http://schemas.openxmlformats.org/drawingml/2006/main" xmlns:pic="http://schemas.openxmlformats.org/drawingml/2006/picture">
            <wp:extent cx="5486400" cy="1541678"/>
            <wp:docPr id="4" name="Picture 4"/>
            <wp:cNvGraphicFramePr>
              <a:graphicFrameLocks noChangeAspect="1"/>
            </wp:cNvGraphicFramePr>
            <a:graphic>
              <a:graphicData uri="http://schemas.openxmlformats.org/drawingml/2006/picture">
                <pic:pic>
                  <pic:nvPicPr>
                    <pic:cNvPr id="0" name="new-flagged.png"/>
                    <pic:cNvPicPr/>
                  </pic:nvPicPr>
                  <pic:blipFill>
                    <a:blip r:embed="rId12"/>
                    <a:stretch>
                      <a:fillRect/>
                    </a:stretch>
                  </pic:blipFill>
                  <pic:spPr>
                    <a:xfrm>
                      <a:off x="0" y="0"/>
                      <a:ext cx="5486400" cy="1541678"/>
                    </a:xfrm>
                    <a:prstGeom prst="rect"/>
                  </pic:spPr>
                </pic:pic>
              </a:graphicData>
            </a:graphic>
          </wp:inline>
        </w:drawing>
      </w:r>
    </w:p>
    <w:p>
      <w:pPr>
        <w:spacing w:after="240"/>
        <w:jc w:val="center"/>
      </w:pPr>
      <w:r>
        <w:rPr>
          <w:i/>
          <w:color w:val="4A5668"/>
          <w:sz w:val="17"/>
        </w:rPr>
        <w:t>The model called this clause compliant at 0.90. It names no jurisdiction, so it is surfaced rather than cleared.</w:t>
      </w:r>
    </w:p>
    <w:p>
      <w:pPr>
        <w:pStyle w:val="Heading2"/>
      </w:pPr>
      <w:r>
        <w:t>6.  Where it landed</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008"/>
            <w:shd w:val="clear" w:fill="F0F3F7"/>
          </w:tcPr>
          <w:p>
            <w:r/>
            <w:r>
              <w:rPr>
                <w:rFonts w:ascii="Segoe UI" w:hAnsi="Segoe UI"/>
                <w:b/>
                <w:sz w:val="18"/>
              </w:rPr>
              <w:t>Clause</w:t>
            </w:r>
          </w:p>
        </w:tc>
        <w:tc>
          <w:tcPr>
            <w:tcW w:type="dxa" w:w="4320"/>
            <w:shd w:val="clear" w:fill="F0F3F7"/>
          </w:tcPr>
          <w:p>
            <w:r/>
            <w:r>
              <w:rPr>
                <w:rFonts w:ascii="Segoe UI" w:hAnsi="Segoe UI"/>
                <w:b/>
                <w:sz w:val="18"/>
              </w:rPr>
              <w:t>Finding</w:t>
            </w:r>
          </w:p>
        </w:tc>
        <w:tc>
          <w:tcPr>
            <w:tcW w:type="dxa" w:w="2016"/>
            <w:shd w:val="clear" w:fill="F0F3F7"/>
          </w:tcPr>
          <w:p>
            <w:r/>
            <w:r>
              <w:rPr>
                <w:rFonts w:ascii="Segoe UI" w:hAnsi="Segoe UI"/>
                <w:b/>
                <w:sz w:val="18"/>
              </w:rPr>
              <w:t>Evidence</w:t>
            </w:r>
          </w:p>
        </w:tc>
        <w:tc>
          <w:tcPr>
            <w:tcW w:type="dxa" w:w="2016"/>
            <w:shd w:val="clear" w:fill="F0F3F7"/>
          </w:tcPr>
          <w:p>
            <w:r/>
            <w:r>
              <w:rPr>
                <w:rFonts w:ascii="Segoe UI" w:hAnsi="Segoe UI"/>
                <w:b/>
                <w:sz w:val="18"/>
              </w:rPr>
              <w:t>Call</w:t>
            </w:r>
          </w:p>
        </w:tc>
      </w:tr>
      <w:tr>
        <w:tc>
          <w:tcPr>
            <w:tcW w:type="dxa" w:w="1008"/>
          </w:tcPr>
          <w:p>
            <w:pPr>
              <w:spacing w:after="40"/>
            </w:pPr>
            <w:r/>
            <w:r>
              <w:rPr>
                <w:rFonts w:ascii="Segoe UI" w:hAnsi="Segoe UI"/>
                <w:sz w:val="19"/>
              </w:rPr>
              <w:t>3</w:t>
            </w:r>
          </w:p>
        </w:tc>
        <w:tc>
          <w:tcPr>
            <w:tcW w:type="dxa" w:w="4320"/>
          </w:tcPr>
          <w:p>
            <w:pPr>
              <w:spacing w:after="40"/>
            </w:pPr>
            <w:r/>
            <w:r>
              <w:rPr>
                <w:rFonts w:ascii="Segoe UI" w:hAnsi="Segoe UI"/>
                <w:sz w:val="19"/>
              </w:rPr>
              <w:t>Liability capped at 3 months, not 12</w:t>
            </w:r>
          </w:p>
        </w:tc>
        <w:tc>
          <w:tcPr>
            <w:tcW w:type="dxa" w:w="2016"/>
          </w:tcPr>
          <w:p>
            <w:pPr>
              <w:spacing w:after="40"/>
            </w:pPr>
            <w:r/>
            <w:r>
              <w:rPr>
                <w:rFonts w:ascii="Segoe UI" w:hAnsi="Segoe UI"/>
                <w:sz w:val="19"/>
              </w:rPr>
              <w:t>arithmetic</w:t>
            </w:r>
          </w:p>
        </w:tc>
        <w:tc>
          <w:tcPr>
            <w:tcW w:type="dxa" w:w="2016"/>
          </w:tcPr>
          <w:p>
            <w:pPr>
              <w:spacing w:after="40"/>
            </w:pPr>
            <w:r/>
            <w:r>
              <w:rPr>
                <w:rFonts w:ascii="Segoe UI" w:hAnsi="Segoe UI"/>
                <w:b/>
                <w:color w:val="B4232B"/>
                <w:sz w:val="19"/>
              </w:rPr>
              <w:t>Escalate</w:t>
            </w:r>
          </w:p>
        </w:tc>
      </w:tr>
      <w:tr>
        <w:tc>
          <w:tcPr>
            <w:tcW w:type="dxa" w:w="1008"/>
          </w:tcPr>
          <w:p>
            <w:pPr>
              <w:spacing w:after="40"/>
            </w:pPr>
            <w:r/>
            <w:r>
              <w:rPr>
                <w:rFonts w:ascii="Segoe UI" w:hAnsi="Segoe UI"/>
                <w:sz w:val="19"/>
              </w:rPr>
              <w:t>2</w:t>
            </w:r>
          </w:p>
        </w:tc>
        <w:tc>
          <w:tcPr>
            <w:tcW w:type="dxa" w:w="4320"/>
          </w:tcPr>
          <w:p>
            <w:pPr>
              <w:spacing w:after="40"/>
            </w:pPr>
            <w:r/>
            <w:r>
              <w:rPr>
                <w:rFonts w:ascii="Segoe UI" w:hAnsi="Segoe UI"/>
                <w:sz w:val="19"/>
              </w:rPr>
              <w:t>Net 15 against a Net 30 floor</w:t>
            </w:r>
          </w:p>
        </w:tc>
        <w:tc>
          <w:tcPr>
            <w:tcW w:type="dxa" w:w="2016"/>
          </w:tcPr>
          <w:p>
            <w:pPr>
              <w:spacing w:after="40"/>
            </w:pPr>
            <w:r/>
            <w:r>
              <w:rPr>
                <w:rFonts w:ascii="Segoe UI" w:hAnsi="Segoe UI"/>
                <w:sz w:val="19"/>
              </w:rPr>
              <w:t>arithmetic</w:t>
            </w:r>
          </w:p>
        </w:tc>
        <w:tc>
          <w:tcPr>
            <w:tcW w:type="dxa" w:w="2016"/>
          </w:tcPr>
          <w:p>
            <w:pPr>
              <w:spacing w:after="40"/>
            </w:pPr>
            <w:r/>
            <w:r>
              <w:rPr>
                <w:rFonts w:ascii="Segoe UI" w:hAnsi="Segoe UI"/>
                <w:b/>
                <w:color w:val="B4232B"/>
                <w:sz w:val="19"/>
              </w:rPr>
              <w:t>Escalate</w:t>
            </w:r>
          </w:p>
        </w:tc>
      </w:tr>
      <w:tr>
        <w:tc>
          <w:tcPr>
            <w:tcW w:type="dxa" w:w="1008"/>
          </w:tcPr>
          <w:p>
            <w:pPr>
              <w:spacing w:after="40"/>
            </w:pPr>
            <w:r/>
            <w:r>
              <w:rPr>
                <w:rFonts w:ascii="Segoe UI" w:hAnsi="Segoe UI"/>
                <w:sz w:val="19"/>
              </w:rPr>
              <w:t>4</w:t>
            </w:r>
          </w:p>
        </w:tc>
        <w:tc>
          <w:tcPr>
            <w:tcW w:type="dxa" w:w="4320"/>
          </w:tcPr>
          <w:p>
            <w:pPr>
              <w:spacing w:after="40"/>
            </w:pPr>
            <w:r/>
            <w:r>
              <w:rPr>
                <w:rFonts w:ascii="Segoe UI" w:hAnsi="Segoe UI"/>
                <w:sz w:val="19"/>
              </w:rPr>
              <w:t>Indemnity runs one way only</w:t>
            </w:r>
          </w:p>
        </w:tc>
        <w:tc>
          <w:tcPr>
            <w:tcW w:type="dxa" w:w="2016"/>
          </w:tcPr>
          <w:p>
            <w:pPr>
              <w:spacing w:after="40"/>
            </w:pPr>
            <w:r/>
            <w:r>
              <w:rPr>
                <w:rFonts w:ascii="Segoe UI" w:hAnsi="Segoe UI"/>
                <w:sz w:val="19"/>
              </w:rPr>
              <w:t>quoted wording</w:t>
            </w:r>
          </w:p>
        </w:tc>
        <w:tc>
          <w:tcPr>
            <w:tcW w:type="dxa" w:w="2016"/>
          </w:tcPr>
          <w:p>
            <w:pPr>
              <w:spacing w:after="40"/>
            </w:pPr>
            <w:r/>
            <w:r>
              <w:rPr>
                <w:rFonts w:ascii="Segoe UI" w:hAnsi="Segoe UI"/>
                <w:b/>
                <w:color w:val="B4232B"/>
                <w:sz w:val="19"/>
              </w:rPr>
              <w:t>Escalate</w:t>
            </w:r>
          </w:p>
        </w:tc>
      </w:tr>
      <w:tr>
        <w:tc>
          <w:tcPr>
            <w:tcW w:type="dxa" w:w="1008"/>
          </w:tcPr>
          <w:p>
            <w:pPr>
              <w:spacing w:after="40"/>
            </w:pPr>
            <w:r/>
            <w:r>
              <w:rPr>
                <w:rFonts w:ascii="Segoe UI" w:hAnsi="Segoe UI"/>
                <w:sz w:val="19"/>
              </w:rPr>
              <w:t>5</w:t>
            </w:r>
          </w:p>
        </w:tc>
        <w:tc>
          <w:tcPr>
            <w:tcW w:type="dxa" w:w="4320"/>
          </w:tcPr>
          <w:p>
            <w:pPr>
              <w:spacing w:after="40"/>
            </w:pPr>
            <w:r/>
            <w:r>
              <w:rPr>
                <w:rFonts w:ascii="Segoe UI" w:hAnsi="Segoe UI"/>
                <w:sz w:val="19"/>
              </w:rPr>
              <w:t>Vendor owns all data and derivatives</w:t>
            </w:r>
          </w:p>
        </w:tc>
        <w:tc>
          <w:tcPr>
            <w:tcW w:type="dxa" w:w="2016"/>
          </w:tcPr>
          <w:p>
            <w:pPr>
              <w:spacing w:after="40"/>
            </w:pPr>
            <w:r/>
            <w:r>
              <w:rPr>
                <w:rFonts w:ascii="Segoe UI" w:hAnsi="Segoe UI"/>
                <w:sz w:val="19"/>
              </w:rPr>
              <w:t>quoted wording</w:t>
            </w:r>
          </w:p>
        </w:tc>
        <w:tc>
          <w:tcPr>
            <w:tcW w:type="dxa" w:w="2016"/>
          </w:tcPr>
          <w:p>
            <w:pPr>
              <w:spacing w:after="40"/>
            </w:pPr>
            <w:r/>
            <w:r>
              <w:rPr>
                <w:rFonts w:ascii="Segoe UI" w:hAnsi="Segoe UI"/>
                <w:b/>
                <w:color w:val="B4232B"/>
                <w:sz w:val="19"/>
              </w:rPr>
              <w:t>Escalate</w:t>
            </w:r>
          </w:p>
        </w:tc>
      </w:tr>
      <w:tr>
        <w:tc>
          <w:tcPr>
            <w:tcW w:type="dxa" w:w="1008"/>
          </w:tcPr>
          <w:p>
            <w:pPr>
              <w:spacing w:after="40"/>
            </w:pPr>
            <w:r/>
            <w:r>
              <w:rPr>
                <w:rFonts w:ascii="Segoe UI" w:hAnsi="Segoe UI"/>
                <w:sz w:val="19"/>
              </w:rPr>
              <w:t>1</w:t>
            </w:r>
          </w:p>
        </w:tc>
        <w:tc>
          <w:tcPr>
            <w:tcW w:type="dxa" w:w="4320"/>
          </w:tcPr>
          <w:p>
            <w:pPr>
              <w:spacing w:after="40"/>
            </w:pPr>
            <w:r/>
            <w:r>
              <w:rPr>
                <w:rFonts w:ascii="Segoe UI" w:hAnsi="Segoe UI"/>
                <w:sz w:val="19"/>
              </w:rPr>
              <w:t>7-day termination and 10-day renewal notice</w:t>
            </w:r>
          </w:p>
        </w:tc>
        <w:tc>
          <w:tcPr>
            <w:tcW w:type="dxa" w:w="2016"/>
          </w:tcPr>
          <w:p>
            <w:pPr>
              <w:spacing w:after="40"/>
            </w:pPr>
            <w:r/>
            <w:r>
              <w:rPr>
                <w:rFonts w:ascii="Segoe UI" w:hAnsi="Segoe UI"/>
                <w:sz w:val="19"/>
              </w:rPr>
              <w:t>arithmetic</w:t>
            </w:r>
          </w:p>
        </w:tc>
        <w:tc>
          <w:tcPr>
            <w:tcW w:type="dxa" w:w="2016"/>
          </w:tcPr>
          <w:p>
            <w:pPr>
              <w:spacing w:after="40"/>
            </w:pPr>
            <w:r/>
            <w:r>
              <w:rPr>
                <w:rFonts w:ascii="Segoe UI" w:hAnsi="Segoe UI"/>
                <w:sz w:val="19"/>
              </w:rPr>
              <w:t>Negotiable</w:t>
            </w:r>
          </w:p>
        </w:tc>
      </w:tr>
      <w:tr>
        <w:tc>
          <w:tcPr>
            <w:tcW w:type="dxa" w:w="1008"/>
          </w:tcPr>
          <w:p>
            <w:pPr>
              <w:spacing w:after="40"/>
            </w:pPr>
            <w:r/>
            <w:r>
              <w:rPr>
                <w:rFonts w:ascii="Segoe UI" w:hAnsi="Segoe UI"/>
                <w:sz w:val="19"/>
              </w:rPr>
              <w:t>6</w:t>
            </w:r>
          </w:p>
        </w:tc>
        <w:tc>
          <w:tcPr>
            <w:tcW w:type="dxa" w:w="4320"/>
          </w:tcPr>
          <w:p>
            <w:pPr>
              <w:spacing w:after="40"/>
            </w:pPr>
            <w:r/>
            <w:r>
              <w:rPr>
                <w:rFonts w:ascii="Segoe UI" w:hAnsi="Segoe UI"/>
                <w:sz w:val="19"/>
              </w:rPr>
              <w:t>Vendor's home jurisdiction governs</w:t>
            </w:r>
          </w:p>
        </w:tc>
        <w:tc>
          <w:tcPr>
            <w:tcW w:type="dxa" w:w="2016"/>
          </w:tcPr>
          <w:p>
            <w:pPr>
              <w:spacing w:after="40"/>
            </w:pPr>
            <w:r/>
            <w:r>
              <w:rPr>
                <w:rFonts w:ascii="Segoe UI" w:hAnsi="Segoe UI"/>
                <w:sz w:val="19"/>
              </w:rPr>
              <w:t>quoted wording</w:t>
            </w:r>
          </w:p>
        </w:tc>
        <w:tc>
          <w:tcPr>
            <w:tcW w:type="dxa" w:w="2016"/>
          </w:tcPr>
          <w:p>
            <w:pPr>
              <w:spacing w:after="40"/>
            </w:pPr>
            <w:r/>
            <w:r>
              <w:rPr>
                <w:rFonts w:ascii="Segoe UI" w:hAnsi="Segoe UI"/>
                <w:sz w:val="19"/>
              </w:rPr>
              <w:t>Negotiable</w:t>
            </w:r>
          </w:p>
        </w:tc>
      </w:tr>
      <w:tr>
        <w:tc>
          <w:tcPr>
            <w:tcW w:type="dxa" w:w="1008"/>
          </w:tcPr>
          <w:p>
            <w:pPr>
              <w:spacing w:after="40"/>
            </w:pPr>
            <w:r/>
            <w:r>
              <w:rPr>
                <w:rFonts w:ascii="Segoe UI" w:hAnsi="Segoe UI"/>
                <w:sz w:val="19"/>
              </w:rPr>
              <w:t>7, 8</w:t>
            </w:r>
          </w:p>
        </w:tc>
        <w:tc>
          <w:tcPr>
            <w:tcW w:type="dxa" w:w="4320"/>
          </w:tcPr>
          <w:p>
            <w:pPr>
              <w:spacing w:after="40"/>
            </w:pPr>
            <w:r/>
            <w:r>
              <w:rPr>
                <w:rFonts w:ascii="Segoe UI" w:hAnsi="Segoe UI"/>
                <w:sz w:val="19"/>
              </w:rPr>
              <w:t>Confidentiality and boilerplate</w:t>
            </w:r>
          </w:p>
        </w:tc>
        <w:tc>
          <w:tcPr>
            <w:tcW w:type="dxa" w:w="2016"/>
          </w:tcPr>
          <w:p>
            <w:pPr>
              <w:spacing w:after="40"/>
            </w:pPr>
            <w:r/>
            <w:r>
              <w:rPr>
                <w:rFonts w:ascii="Segoe UI" w:hAnsi="Segoe UI"/>
                <w:sz w:val="19"/>
              </w:rPr>
              <w:t>—</w:t>
            </w:r>
          </w:p>
        </w:tc>
        <w:tc>
          <w:tcPr>
            <w:tcW w:type="dxa" w:w="2016"/>
          </w:tcPr>
          <w:p>
            <w:pPr>
              <w:spacing w:after="40"/>
            </w:pPr>
            <w:r/>
            <w:r>
              <w:rPr>
                <w:rFonts w:ascii="Segoe UI" w:hAnsi="Segoe UI"/>
                <w:sz w:val="19"/>
              </w:rPr>
              <w:t>No rule applies</w:t>
            </w:r>
          </w:p>
        </w:tc>
      </w:tr>
    </w:tbl>
    <w:p>
      <w:pPr>
        <w:spacing w:after="40"/>
      </w:pPr>
    </w:p>
    <w:p>
      <w:pPr>
        <w:spacing w:after="160"/>
      </w:pPr>
      <w:r>
        <w:rPr>
          <w:rFonts w:ascii="Segoe UI" w:hAnsi="Segoe UI"/>
          <w:b w:val="0"/>
          <w:i w:val="0"/>
          <w:color w:val="16202E"/>
          <w:sz w:val="21"/>
        </w:rPr>
        <w:t>All seven planted breaches are caught and attributed, the two clean clauses draw no false flags, and the suite runs 132 tests of which 96 need no API key at all.</w:t>
      </w:r>
    </w:p>
    <w:p>
      <w:pPr>
        <w:spacing w:after="160"/>
      </w:pPr>
      <w:r>
        <w:rPr>
          <w:rFonts w:ascii="Segoe UI" w:hAnsi="Segoe UI"/>
          <w:b w:val="0"/>
          <w:i w:val="0"/>
          <w:color w:val="16202E"/>
          <w:sz w:val="21"/>
        </w:rPr>
        <w:t>Severity comes from the playbook's own reasoning rather than the size of the gap. Payment terms are escalated because the rule itself says shorter terms need escalation, even though Net 15 is the smallest numeric miss in the contract. The two notice-period gaps are the largest misses proportionally and stay negotiable, because they are procedural.</w:t>
      </w:r>
    </w:p>
    <w:p>
      <w:pPr>
        <w:spacing w:after="160"/>
      </w:pPr>
      <w:r>
        <w:rPr>
          <w:rFonts w:ascii="Segoe UI" w:hAnsi="Segoe UI"/>
          <w:b w:val="0"/>
          <w:i/>
          <w:color w:val="4A5668"/>
          <w:sz w:val="21"/>
        </w:rPr>
        <w:t>The honest limitation: the vagueness check is a phrase list, so a clause that hedges in wording it does not contain still reaches the model unguarded. It is a floor under the failure mode, not a solution to it.</w:t>
      </w:r>
    </w:p>
    <w:p>
      <w:pPr>
        <w:pStyle w:val="Heading2"/>
      </w:pPr>
      <w:r>
        <w:t>Running it</w:t>
      </w:r>
    </w:p>
    <w:p>
      <w:pPr>
        <w:spacing w:after="160"/>
      </w:pPr>
      <w:r>
        <w:rPr>
          <w:rFonts w:ascii="Segoe UI" w:hAnsi="Segoe UI"/>
          <w:b w:val="0"/>
          <w:i w:val="0"/>
          <w:color w:val="16202E"/>
          <w:sz w:val="21"/>
        </w:rPr>
        <w:t>The repository README covers local setup, the test suite and deployment. The backend serves both the API and the built React bundle from one origin, so it deploys as a single service using the committed render.yaml. The OpenAI key lives in server-side environment variables only and is never exposed to the frontend or committed.</w:t>
      </w:r>
    </w:p>
    <w:sectPr w:rsidR="00FC693F" w:rsidRPr="0006063C"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Segoe UI" w:hAnsi="Segoe UI"/>
      <w:color w:val="1620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Georgia" w:hAnsi="Georgia"/>
      <w:b w:val="0"/>
      <w:bCs/>
      <w:color w:val="16202E"/>
      <w:sz w:val="40"/>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Segoe UI" w:hAnsi="Segoe UI"/>
      <w:b/>
      <w:bCs/>
      <w:color w:val="16202E"/>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Segoe UI" w:hAnsi="Segoe UI"/>
      <w:b/>
      <w:bCs/>
      <w:color w:val="16202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