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V5.3 North Slope Gas Hydrate ML Workflow Companion</w:t>
      </w:r>
    </w:p>
    <w:p>
      <w:r>
        <w:t>This companion explains the refreshed mentor-facing deck. It describes the public-safe workflow, the gas-hydrate science context, the parameter evidence logic, the guarded stability branch, and the future leakage-safe machine-learning architecture for occurrence classification and saturation regression. It does not report trained project metrics or final hydrate predictions.</w:t>
      </w:r>
    </w:p>
    <w:p>
      <w:pPr>
        <w:pStyle w:val="Heading1"/>
      </w:pPr>
      <w:r>
        <w:t>1. Project Purpose</w:t>
      </w:r>
    </w:p>
    <w:p>
      <w:r>
        <w:t>The project is building a source-backed North Slope workflow that can later use approved well logs, core, NMR, and mentor-approved labels to predict gas hydrate occurrence and saturation. The current public work is readiness and method architecture: it documents what will enter the feature matrix, what stays target-only, how physics context is used, and how validation should be performed.</w:t>
      </w:r>
    </w:p>
    <w:p>
      <w:pPr>
        <w:pStyle w:val="Heading1"/>
      </w:pPr>
      <w:r>
        <w:t>2. Public vs OSL Boundary</w:t>
      </w:r>
    </w:p>
    <w:p>
      <w:r>
        <w:t>The GitHub and Streamlit side can show public-source context, public scaffold counts, diagrams, source-ledger logic, schema coverage, and caveats. Approved runtime or OSL space is reserved for raw/approved well-log rows, core/NMR values, sensitive source files, model fitting, trained artifacts, and reviewed outputs.</w:t>
      </w:r>
    </w:p>
    <w:p>
      <w:r>
        <w:t>The public scaffold currently shows 8,084 public wells, 43 GGD223 permafrost controls, 184 G10015 temperature profiles, 483 temperature-profile matches, and 22 baseline methane 5 ppt admissibility intervals.</w:t>
      </w:r>
    </w:p>
    <w:p>
      <w:pPr>
        <w:pStyle w:val="Heading1"/>
      </w:pPr>
      <w:r>
        <w:t>3. Gas Hydrate Science And North Slope Context</w:t>
      </w:r>
    </w:p>
    <w:p>
      <w:r>
        <w:t>Gas hydrate is an ice-like crystalline solid in which water cages trap guest gas molecules, most commonly methane. North Slope hydrate work is permafrost-associated and tied to public context such as hydrate assessment units, permafrost depth, public wells, and case-study areas including Mt. Elbert and Ignik Sikumi where supported by source documentation.</w:t>
      </w:r>
    </w:p>
    <w:p>
      <w:pPr>
        <w:pStyle w:val="Heading1"/>
      </w:pPr>
      <w:r>
        <w:t>4. Why Gas Chemistry And Structure Type Matter</w:t>
      </w:r>
    </w:p>
    <w:p>
      <w:r>
        <w:t>Structure I is the methane-dominant baseline used for the current public stability screen. Structure II can be stabilized by larger molecules such as propane or isobutane, and Structure H involves larger hydrocarbons plus methane. Because gas composition shifts the pressure-temperature boundary, the current deck labels methane 5 ppt as the baseline and keeps variable chemistry as a later scenario capability.</w:t>
      </w:r>
    </w:p>
    <w:p>
      <w:pPr>
        <w:pStyle w:val="Heading1"/>
      </w:pPr>
      <w:r>
        <w:t>5. Parameter Evidence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Parameter family</w:t>
            </w:r>
          </w:p>
        </w:tc>
        <w:tc>
          <w:tcPr>
            <w:tcW w:type="dxa" w:w="2592"/>
          </w:tcPr>
          <w:p>
            <w:r>
              <w:rPr>
                <w:b/>
              </w:rPr>
              <w:t>Hydrate-compatible direction</w:t>
            </w:r>
          </w:p>
        </w:tc>
        <w:tc>
          <w:tcPr>
            <w:tcW w:type="dxa" w:w="2592"/>
          </w:tcPr>
          <w:p>
            <w:r>
              <w:rPr>
                <w:b/>
              </w:rPr>
              <w:t>Opposite / mimic</w:t>
            </w:r>
          </w:p>
        </w:tc>
        <w:tc>
          <w:tcPr>
            <w:tcW w:type="dxa" w:w="2592"/>
          </w:tcPr>
          <w:p>
            <w:r>
              <w:rPr>
                <w:b/>
              </w:rPr>
              <w:t>Caveat</w:t>
            </w:r>
          </w:p>
        </w:tc>
      </w:tr>
      <w:tr>
        <w:tc>
          <w:tcPr>
            <w:tcW w:type="dxa" w:w="2592"/>
          </w:tcPr>
          <w:p>
            <w:r>
              <w:t>GR</w:t>
            </w:r>
          </w:p>
        </w:tc>
        <w:tc>
          <w:tcPr>
            <w:tcW w:type="dxa" w:w="2592"/>
          </w:tcPr>
          <w:p>
            <w:r>
              <w:t>Lower GR, cleaner sand/reservoir quality.</w:t>
            </w:r>
          </w:p>
        </w:tc>
        <w:tc>
          <w:tcPr>
            <w:tcW w:type="dxa" w:w="2592"/>
          </w:tcPr>
          <w:p>
            <w:r>
              <w:t>Higher GR can mean shale/clay and can confuse response.</w:t>
            </w:r>
          </w:p>
        </w:tc>
        <w:tc>
          <w:tcPr>
            <w:tcW w:type="dxa" w:w="2592"/>
          </w:tcPr>
          <w:p>
            <w:r>
              <w:t>Directional only unless thresholds are source-supported.</w:t>
            </w:r>
          </w:p>
        </w:tc>
      </w:tr>
      <w:tr>
        <w:tc>
          <w:tcPr>
            <w:tcW w:type="dxa" w:w="2592"/>
          </w:tcPr>
          <w:p>
            <w:r>
              <w:t>Rt / resistivity</w:t>
            </w:r>
          </w:p>
        </w:tc>
        <w:tc>
          <w:tcPr>
            <w:tcW w:type="dxa" w:w="2592"/>
          </w:tcPr>
          <w:p>
            <w:r>
              <w:t>Higher resistivity can support resistive pore fill.</w:t>
            </w:r>
          </w:p>
        </w:tc>
        <w:tc>
          <w:tcPr>
            <w:tcW w:type="dxa" w:w="2592"/>
          </w:tcPr>
          <w:p>
            <w:r>
              <w:t>Lower resistivity trends saline water or wet sand.</w:t>
            </w:r>
          </w:p>
        </w:tc>
        <w:tc>
          <w:tcPr>
            <w:tcW w:type="dxa" w:w="2592"/>
          </w:tcPr>
          <w:p>
            <w:r>
              <w:t>Resistivity alone is not proof.</w:t>
            </w:r>
          </w:p>
        </w:tc>
      </w:tr>
      <w:tr>
        <w:tc>
          <w:tcPr>
            <w:tcW w:type="dxa" w:w="2592"/>
          </w:tcPr>
          <w:p>
            <w:r>
              <w:t>RHOB / density porosity</w:t>
            </w:r>
          </w:p>
        </w:tc>
        <w:tc>
          <w:tcPr>
            <w:tcW w:type="dxa" w:w="2592"/>
          </w:tcPr>
          <w:p>
            <w:r>
              <w:t>Porosity/storage context and density-derived porosity.</w:t>
            </w:r>
          </w:p>
        </w:tc>
        <w:tc>
          <w:tcPr>
            <w:tcW w:type="dxa" w:w="2592"/>
          </w:tcPr>
          <w:p>
            <w:r>
              <w:t>Tight or low-quality intervals are less favorable.</w:t>
            </w:r>
          </w:p>
        </w:tc>
        <w:tc>
          <w:tcPr>
            <w:tcW w:type="dxa" w:w="2592"/>
          </w:tcPr>
          <w:p>
            <w:r>
              <w:t>Density is an input or derived feature, not a target.</w:t>
            </w:r>
          </w:p>
        </w:tc>
      </w:tr>
      <w:tr>
        <w:tc>
          <w:tcPr>
            <w:tcW w:type="dxa" w:w="2592"/>
          </w:tcPr>
          <w:p>
            <w:r>
              <w:t>NMRPHI / NMR separation</w:t>
            </w:r>
          </w:p>
        </w:tc>
        <w:tc>
          <w:tcPr>
            <w:tcW w:type="dxa" w:w="2592"/>
          </w:tcPr>
          <w:p>
            <w:r>
              <w:t>Density-vs-NMR separation can be meaningful because hydrate may reduce mobile-water signal.</w:t>
            </w:r>
          </w:p>
        </w:tc>
        <w:tc>
          <w:tcPr>
            <w:tcW w:type="dxa" w:w="2592"/>
          </w:tcPr>
          <w:p>
            <w:r>
              <w:t>High mobile water tends water-bearing.</w:t>
            </w:r>
          </w:p>
        </w:tc>
        <w:tc>
          <w:tcPr>
            <w:tcW w:type="dxa" w:w="2592"/>
          </w:tcPr>
          <w:p>
            <w:r>
              <w:t>NMR saturation-like fields stay target-only.</w:t>
            </w:r>
          </w:p>
        </w:tc>
      </w:tr>
      <w:tr>
        <w:tc>
          <w:tcPr>
            <w:tcW w:type="dxa" w:w="2592"/>
          </w:tcPr>
          <w:p>
            <w:r>
              <w:t>Vp, Vs, Vp/Vs, AI</w:t>
            </w:r>
          </w:p>
        </w:tc>
        <w:tc>
          <w:tcPr>
            <w:tcW w:type="dxa" w:w="2592"/>
          </w:tcPr>
          <w:p>
            <w:r>
              <w:t>Hydrate-bearing or cemented sand can be stiffer with higher velocity/impedance.</w:t>
            </w:r>
          </w:p>
        </w:tc>
        <w:tc>
          <w:tcPr>
            <w:tcW w:type="dxa" w:w="2592"/>
          </w:tcPr>
          <w:p>
            <w:r>
              <w:t>Free gas, cement, or poor consolidation can mimic or reverse signals.</w:t>
            </w:r>
          </w:p>
        </w:tc>
        <w:tc>
          <w:tcPr>
            <w:tcW w:type="dxa" w:w="2592"/>
          </w:tcPr>
          <w:p>
            <w:r>
              <w:t>Use only when units and logs support the calculation.</w:t>
            </w:r>
          </w:p>
        </w:tc>
      </w:tr>
      <w:tr>
        <w:tc>
          <w:tcPr>
            <w:tcW w:type="dxa" w:w="2592"/>
          </w:tcPr>
          <w:p>
            <w:r>
              <w:t>Caliper / QC</w:t>
            </w:r>
          </w:p>
        </w:tc>
        <w:tc>
          <w:tcPr>
            <w:tcW w:type="dxa" w:w="2592"/>
          </w:tcPr>
          <w:p>
            <w:r>
              <w:t>In-gauge hole supports trust in logs.</w:t>
            </w:r>
          </w:p>
        </w:tc>
        <w:tc>
          <w:tcPr>
            <w:tcW w:type="dxa" w:w="2592"/>
          </w:tcPr>
          <w:p>
            <w:r>
              <w:t>Washout or bad hole means caution.</w:t>
            </w:r>
          </w:p>
        </w:tc>
        <w:tc>
          <w:tcPr>
            <w:tcW w:type="dxa" w:w="2592"/>
          </w:tcPr>
          <w:p>
            <w:r>
              <w:t>QC only; not a hydrate signal.</w:t>
            </w:r>
          </w:p>
        </w:tc>
      </w:tr>
      <w:tr>
        <w:tc>
          <w:tcPr>
            <w:tcW w:type="dxa" w:w="2592"/>
          </w:tcPr>
          <w:p>
            <w:r>
              <w:t>Pressure-temperature stability</w:t>
            </w:r>
          </w:p>
        </w:tc>
        <w:tc>
          <w:tcPr>
            <w:tcW w:type="dxa" w:w="2592"/>
          </w:tcPr>
          <w:p>
            <w:r>
              <w:t>Inside methane 5 ppt phase boundary is admissible under assumptions.</w:t>
            </w:r>
          </w:p>
        </w:tc>
        <w:tc>
          <w:tcPr>
            <w:tcW w:type="dxa" w:w="2592"/>
          </w:tcPr>
          <w:p>
            <w:r>
              <w:t>Outside is not stable under that assumption.</w:t>
            </w:r>
          </w:p>
        </w:tc>
        <w:tc>
          <w:tcPr>
            <w:tcW w:type="dxa" w:w="2592"/>
          </w:tcPr>
          <w:p>
            <w:r>
              <w:t>Not occurrence and not saturation.</w:t>
            </w:r>
          </w:p>
        </w:tc>
      </w:tr>
    </w:tbl>
    <w:p>
      <w:pPr>
        <w:pStyle w:val="Heading1"/>
      </w:pPr>
      <w:r>
        <w:t>6. Stability Method</w:t>
      </w:r>
    </w:p>
    <w:p>
      <w:r>
        <w:t>The public stability branch combines a depth basis, hydrostatic absolute pressure, a public temperature model, and a methane 5 ppt phase-boundary lookup. The pressure equation shown in the deck is P_abs(z) = P_surface + rho_w * g * z_m / 1e6. The calculation identifies intervals where the modeled temperature is at or below the equilibrium temperature for the chosen phase curve.</w:t>
      </w:r>
    </w:p>
    <w:p>
      <w:r>
        <w:t>The methane 5 ppt baseline is retained as the official public baseline. Scenario chemistry can be added later only with labeled sources and mentor approval. Stability means physically admissible under assumptions; it is not hydrate proof, occurrence, saturation, producibility, or final top/base/thickness.</w:t>
      </w:r>
    </w:p>
    <w:p>
      <w:pPr>
        <w:pStyle w:val="Heading1"/>
      </w:pPr>
      <w:r>
        <w:t>7. ML Workflow</w:t>
      </w:r>
    </w:p>
    <w:p>
      <w:pPr>
        <w:pStyle w:val="ListBullet"/>
      </w:pPr>
      <w:r>
        <w:t>X inputs: measured logs, derived features, QC/context flags, and optional stability/context fields if approved.</w:t>
      </w:r>
    </w:p>
    <w:p>
      <w:pPr>
        <w:pStyle w:val="ListBullet"/>
      </w:pPr>
      <w:r>
        <w:t>Y-only targets: occurrence labels, Sgh, S_h, Sh, NMR_SAT, hydrate saturation, Swr/S_wr, and interpreted phase labels.</w:t>
      </w:r>
    </w:p>
    <w:p>
      <w:pPr>
        <w:pStyle w:val="ListBullet"/>
      </w:pPr>
      <w:r>
        <w:t>Two outputs: future occurrence classification as P(hydrate) and future saturation regression as Sh_pred.</w:t>
      </w:r>
    </w:p>
    <w:p>
      <w:pPr>
        <w:pStyle w:val="ListBullet"/>
      </w:pPr>
      <w:r>
        <w:t>Model order: simple physics/rules baseline, tree or gradient boosting baseline, then ANN/Keras candidate.</w:t>
      </w:r>
    </w:p>
    <w:p>
      <w:pPr>
        <w:pStyle w:val="ListBullet"/>
      </w:pPr>
      <w:r>
        <w:t>Validation: split by whole well, compartment, or geography before preprocessing; avoid final random depth-row splits.</w:t>
      </w:r>
    </w:p>
    <w:p>
      <w:pPr>
        <w:pStyle w:val="ListBullet"/>
      </w:pPr>
      <w:r>
        <w:t>Leakage guardrail: target labels supervise training and validation but never enter the feature matrix.</w:t>
      </w:r>
    </w:p>
    <w:p>
      <w:pPr>
        <w:pStyle w:val="Heading1"/>
      </w:pPr>
      <w:r>
        <w:t>8. What The Website Currently Shows</w:t>
      </w:r>
    </w:p>
    <w:p>
      <w:pPr>
        <w:pStyle w:val="ListBullet"/>
      </w:pPr>
      <w:r>
        <w:t>2D public regional map / North Slope layer overview.</w:t>
      </w:r>
    </w:p>
    <w:p>
      <w:pPr>
        <w:pStyle w:val="ListBullet"/>
      </w:pPr>
      <w:r>
        <w:t>Structural explorer preview with public horizons and wells.</w:t>
      </w:r>
    </w:p>
    <w:p>
      <w:pPr>
        <w:pStyle w:val="ListBullet"/>
      </w:pPr>
      <w:r>
        <w:t>Public scaffold counts and stability-admissibility readiness.</w:t>
      </w:r>
    </w:p>
    <w:p>
      <w:pPr>
        <w:pStyle w:val="ListBullet"/>
      </w:pPr>
      <w:r>
        <w:t>Schema coverage and target-leakage architecture views.</w:t>
      </w:r>
    </w:p>
    <w:p>
      <w:pPr>
        <w:pStyle w:val="ListBullet"/>
      </w:pPr>
      <w:r>
        <w:t>Public-safe diagrams without approved/private data rows.</w:t>
      </w:r>
    </w:p>
    <w:p>
      <w:pPr>
        <w:pStyle w:val="Heading1"/>
      </w:pPr>
      <w:r>
        <w:t>9. Complete vs Future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Complete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Calculated</w:t>
            </w:r>
          </w:p>
        </w:tc>
        <w:tc>
          <w:tcPr>
            <w:tcW w:type="dxa" w:w="3456"/>
          </w:tcPr>
          <w:p>
            <w:r>
              <w:rPr>
                <w:b/>
              </w:rPr>
              <w:t>Future / blocked</w:t>
            </w:r>
          </w:p>
        </w:tc>
      </w:tr>
      <w:tr>
        <w:tc>
          <w:tcPr>
            <w:tcW w:type="dxa" w:w="3456"/>
          </w:tcPr>
          <w:p>
            <w:r>
              <w:t>Public/OSL boundary; website surface; public well map; structural explorer; first ML intake and leakage architecture.</w:t>
            </w:r>
          </w:p>
        </w:tc>
        <w:tc>
          <w:tcPr>
            <w:tcW w:type="dxa" w:w="3456"/>
          </w:tcPr>
          <w:p>
            <w:r>
              <w:t>8,084 public wells; 43 controls; 184 profiles; 483 temp-profile matches; 22 methane 5 ppt admissibility intervals.</w:t>
            </w:r>
          </w:p>
        </w:tc>
        <w:tc>
          <w:tcPr>
            <w:tcW w:type="dxa" w:w="3456"/>
          </w:tcPr>
          <w:p>
            <w:r>
              <w:t>Approved log/core/NMR rows; target authority; final blind validation wells; trained occurrence/saturation models; reviewed public prediction release.</w:t>
            </w:r>
          </w:p>
        </w:tc>
      </w:tr>
    </w:tbl>
    <w:p>
      <w:pPr>
        <w:pStyle w:val="Heading1"/>
      </w:pPr>
      <w:r>
        <w:t>10. Mentor Decision List</w:t>
      </w:r>
    </w:p>
    <w:p>
      <w:pPr>
        <w:pStyle w:val="ListNumber"/>
      </w:pPr>
      <w:r>
        <w:t>Methane 5 ppt baseline only, or add clearly labeled variable gas-chemistry scenarios?</w:t>
      </w:r>
    </w:p>
    <w:p>
      <w:pPr>
        <w:pStyle w:val="ListNumber"/>
      </w:pPr>
      <w:r>
        <w:t>Which saturation label is authoritative when Sgh, S_h, Sh, NMR_SAT, or hydrate saturation differ?</w:t>
      </w:r>
    </w:p>
    <w:p>
      <w:pPr>
        <w:pStyle w:val="ListNumber"/>
      </w:pPr>
      <w:r>
        <w:t>Should occurrence labels come from phase labels, saturation threshold, or mentor-reviewed intervals?</w:t>
      </w:r>
    </w:p>
    <w:p>
      <w:pPr>
        <w:pStyle w:val="ListNumber"/>
      </w:pPr>
      <w:r>
        <w:t>MTE is Mt. Elbert and IGS is Ignik Sikumi; confirm whether *_refined tabs are processing stages by workbook metadata.</w:t>
      </w:r>
    </w:p>
    <w:p>
      <w:pPr>
        <w:pStyle w:val="ListNumber"/>
      </w:pPr>
      <w:r>
        <w:t>Which wells become blind validation once the full well inventory is available?</w:t>
      </w:r>
    </w:p>
    <w:p>
      <w:pPr>
        <w:pStyle w:val="ListNumber"/>
      </w:pPr>
      <w:r>
        <w:t>Are missing-log adapters allowed, or should the first models use only observed log combinations?</w:t>
      </w:r>
    </w:p>
    <w:p>
      <w:pPr>
        <w:pStyle w:val="Heading1"/>
      </w:pPr>
      <w:r>
        <w:t>Research / Source Anchors</w:t>
      </w:r>
    </w:p>
    <w:p>
      <w:pPr>
        <w:pStyle w:val="ListBullet"/>
      </w:pPr>
      <w:r>
        <w:t>USGS Gas Hydrate Crystals image: https://www.usgs.gov/media/images/gas-hydrate-crystals</w:t>
      </w:r>
    </w:p>
    <w:p>
      <w:pPr>
        <w:pStyle w:val="ListBullet"/>
      </w:pPr>
      <w:r>
        <w:t>USGS SIR 2008-5175 North Slope stability/prospect method: https://pubs.usgs.gov/sir/2008/5175/</w:t>
      </w:r>
    </w:p>
    <w:p>
      <w:pPr>
        <w:pStyle w:val="ListBullet"/>
      </w:pPr>
      <w:r>
        <w:t>Chong et al. 2024 / USGS ANN occurrence and saturation architecture anchor: https://pubs.usgs.gov/publication/70250169</w:t>
      </w:r>
    </w:p>
    <w:p>
      <w:pPr>
        <w:pStyle w:val="ListBullet"/>
      </w:pPr>
      <w:r>
        <w:t>OSTI / NETL MTE and IGS context: https://www.osti.gov/servlets/purl/1893637</w:t>
      </w:r>
    </w:p>
    <w:p>
      <w:pPr>
        <w:pStyle w:val="ListBullet"/>
      </w:pPr>
      <w:r>
        <w:t>MDPI missing-log adapter background: https://www.mdpi.com/1996-1073/16/23/7709</w:t>
      </w:r>
    </w:p>
    <w:p>
      <w:pPr>
        <w:pStyle w:val="Heading1"/>
      </w:pPr>
      <w:r>
        <w:t>Deck Figures</w:t>
      </w:r>
    </w:p>
    <w:p>
      <w:r>
        <w:t>Audience workflow slide: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3_parameter_ranges_v5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Expanded technical workflow:</w:t>
      </w:r>
    </w:p>
    <w:p>
      <w:r>
        <w:drawing>
          <wp:inline xmlns:a="http://schemas.openxmlformats.org/drawingml/2006/main" xmlns:pic="http://schemas.openxmlformats.org/drawingml/2006/picture">
            <wp:extent cx="6126480" cy="3534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project_ml_workflow_flowchart_expan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3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ML runtime detail:</w:t>
      </w:r>
    </w:p>
    <w:p>
      <w:r>
        <w:drawing>
          <wp:inline xmlns:a="http://schemas.openxmlformats.org/drawingml/2006/main" xmlns:pic="http://schemas.openxmlformats.org/drawingml/2006/picture">
            <wp:extent cx="6126480" cy="3534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pipeline_network_detail_v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3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Guardrail Language</w:t>
      </w:r>
    </w:p>
    <w:p>
      <w:r>
        <w:t>Use 'admissible under assumptions,' 'candidate context,' 'confidence/caveat,' and 'validation required.' Do not call the stability scaffold hydrate proof, final stability, occurrence, saturation, or trained ML performance.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V5.3 North Slope Gas Hydrate ML Workflow Companion</dc:title>
  <dc:subject>Mentor-facing scientific and ML workflow explanation</dc:subject>
  <dc:creator>North Slope Gas Hydrates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