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V5.2 North Slope Gas Hydrate Full ML Workflow Companion</w:t>
      </w:r>
    </w:p>
    <w:p>
      <w:r>
        <w:t>This companion page explains the V5.2 diagram package requested for the slide refresh. The package connects source and schema controls, OpenScienceLab and approved-runtime inputs, the guarded pressure-temperature stability branch, well-log physics equations, the leakage barrier, occurrence classification, saturation regression, validation, and reviewed exports. The refreshed slide deck includes both complex architecture diagrams inside the presentation: the expanded full workflow map and the ML runtime/network detail.</w:t>
      </w:r>
    </w:p>
    <w:p>
      <w:pPr>
        <w:pStyle w:val="Heading1"/>
      </w:pPr>
      <w:r>
        <w:t>Project Status In Plain Language</w:t>
      </w:r>
    </w:p>
    <w:p>
      <w:r>
        <w:t>The project is building a defensible North Slope workflow for gas hydrate occurrence classification and saturation regression. The public GitHub/Streamlit side explains source-backed methods, public scaffold counts, diagrams, and public-safe outputs. OpenScienceLab and the later approved runtime are where raw source bundles, approved well logs, core/NMR information, target labels, feature engineering, model fitting, validation, and reviewed outputs belong.</w:t>
      </w:r>
    </w:p>
    <w:p>
      <w:r>
        <w:t>The public scaffold currently has 8,084 wells, 43 GGD223 permafrost controls, 184 G10015 profiles, 3 hydrate AUs, 483 temperature-profile matches, and about 3 / 71 approved datasets visible for schema design only.</w:t>
      </w:r>
    </w:p>
    <w:p>
      <w:pPr>
        <w:pStyle w:val="Heading1"/>
      </w:pPr>
      <w:r>
        <w:t>Three Visual Levels</w:t>
      </w:r>
    </w:p>
    <w:p>
      <w:pPr>
        <w:pStyle w:val="ListBullet"/>
      </w:pPr>
      <w:r>
        <w:t>Slide 3 is the readable mentor-scale overview for a live presentation.</w:t>
      </w:r>
    </w:p>
    <w:p>
      <w:pPr>
        <w:pStyle w:val="ListBullet"/>
      </w:pPr>
      <w:r>
        <w:t>Slide 4 embeds the expanded poster as the detailed architecture map with sources, equations, gates, features, targets, validation, outputs, and caveats.</w:t>
      </w:r>
    </w:p>
    <w:p>
      <w:pPr>
        <w:pStyle w:val="ListBullet"/>
      </w:pPr>
      <w:r>
        <w:t>Slide 7 embeds the ML runtime detail focused on X allowed, the Y-only label rail, split/preprocess/model controls, output heads, and validation.</w:t>
      </w:r>
    </w:p>
    <w:p>
      <w:pPr>
        <w:pStyle w:val="ListBullet"/>
      </w:pPr>
      <w:r>
        <w:t>Slides 5, 6, 8, and 9 are readable zoom slides that explain stability context, variable fingerprints, modeling decisions, and mentor decisions without cramming poster text into one slide.</w:t>
      </w:r>
    </w:p>
    <w:p>
      <w:pPr>
        <w:pStyle w:val="Heading1"/>
      </w:pPr>
      <w:r>
        <w:t>Current ML Architecture Decisions</w:t>
      </w:r>
    </w:p>
    <w:p>
      <w:pPr>
        <w:pStyle w:val="ListBullet"/>
      </w:pPr>
      <w:r>
        <w:t>Occurrence classification and saturation regression are linked but separate outputs. Occurrence uses approved evidence labels; saturation regression uses an approved saturation target field only after authority and units are confirmed.</w:t>
      </w:r>
    </w:p>
    <w:p>
      <w:pPr>
        <w:pStyle w:val="ListBullet"/>
      </w:pPr>
      <w:r>
        <w:t>Numeric predictors use train-only 0-1 scaling after a whole-well, compartment, or geographic split. Depth remains the alignment and context axis unless a mentor explicitly approves depth as a predictor.</w:t>
      </w:r>
    </w:p>
    <w:p>
      <w:pPr>
        <w:pStyle w:val="ListBullet"/>
      </w:pPr>
      <w:r>
        <w:t>The model ladder is baseline models first, tree or boosting models second, and ANN/Keras third. A candidate ANN is an architecture option, not a trained project result.</w:t>
      </w:r>
    </w:p>
    <w:p>
      <w:pPr>
        <w:pStyle w:val="ListBullet"/>
      </w:pPr>
      <w:r>
        <w:t>Stability may enter X allowed only as context, mask, confidence, caveat, or blocked reason if approved. It cannot create occurrence labels, saturation targets, or validated predictions.</w:t>
      </w:r>
    </w:p>
    <w:p>
      <w:pPr>
        <w:pStyle w:val="ListBullet"/>
      </w:pPr>
      <w:r>
        <w:t>Caliper coverage is checked before washout filtering. If caliper, CAL1, or differential caliper coverage is insufficient, the runtime carries a missing-QC flag instead of silently filtering rows.</w:t>
      </w:r>
    </w:p>
    <w:p>
      <w:pPr>
        <w:pStyle w:val="ListBullet"/>
      </w:pPr>
      <w:r>
        <w:t>Missing-log adapters for Vp or RHOB remain optional and mentor-approved; alternate log combinations are the default lower-risk strategy until adapters are validated on North Slope data.</w:t>
      </w:r>
    </w:p>
    <w:p>
      <w:pPr>
        <w:pStyle w:val="Heading1"/>
      </w:pPr>
      <w:r>
        <w:t>Variable Fingerprint And Intake Validator</w:t>
      </w:r>
    </w:p>
    <w:p>
      <w:r>
        <w:t>Before a source column can enter X allowed, it needs a variable fingerprint: original header, unit, normalized name, role, normalized-or-raw status, feature-matrix permission, leakage risk, public-safe display status, and unresolved mentor question. This keeps origin headers such as DEPTH, GR, RHOB, Rt, Sgh, S_h, Sh, and NMR_SAT visible instead of hiding them behind aliases.</w:t>
      </w:r>
    </w:p>
    <w:p>
      <w:r>
        <w:t>The public-safe validator in dashboard/approved_data_intake.py and the CLI runner in 01_pipeline/validate_approved_data_headers.py audit headers only. They can report recognized headers, unknown headers, missing required fields, target-only leakage, unresolved units, caliper-gate status, missing-log adapter status, occurrence/saturation target authority, blocked reasons, and training readiness without reading or printing approved row values.</w:t>
      </w:r>
    </w:p>
    <w:p>
      <w:pPr>
        <w:pStyle w:val="Heading1"/>
      </w:pPr>
      <w:r>
        <w:t>Research Source Anchors</w:t>
      </w:r>
    </w:p>
    <w:p>
      <w:r>
        <w:t>Chong et al. 2024 / USGS supports the architecture pattern of ANN-style hydrate occurrence classification and saturation prediction from well-log inputs. It classifies hydrate occurrence types and predicts saturation in a marine hydrate setting, so this project uses it as a model-architecture anchor rather than as North Slope performance evidence: https://pubs.usgs.gov/publication/70250169</w:t>
      </w:r>
    </w:p>
    <w:p>
      <w:r>
        <w:t>Occurrence is treated here as a target or validation label, not something measured or proven by the pressure-temperature stability screen. In the approved runtime, occurrence evidence can come from core or pressure-core observations, NMR/core-derived saturation, validated multi-log interpretation, or documented seismic indicators. Each occurrence label needs source, interval, confidence, and caveat metadata before model training or validation.</w:t>
      </w:r>
    </w:p>
    <w:p>
      <w:r>
        <w:t>The Singh/NETL source identifies Well-MTE as the Mt. Elbert Stratigraphic Test Well and Well-IGS as the Ignik Sikumi Test Well in the Alaska North Slope / Eileen Gas Hydrate Trend case-study context. The public workbook headers MTE_refined and IGS_refined should remain blue mentor questions until approved metadata confirms whether they are raw/refined processing stages: https://www.osti.gov/servlets/purl/1893637</w:t>
      </w:r>
    </w:p>
    <w:p>
      <w:r>
        <w:t>The MDPI missing-log study supports the general plausibility of using machine learning to estimate missing Vp and bulk density logs in marine hydrate settings. It does not automatically validate missing-log adapters for North Slope permafrost sediments, so any Vp/RHOB adapter must be optional, mentor-approved, and validated before use: https://www.mdpi.com/1996-1073/16/23/7709</w:t>
      </w:r>
    </w:p>
    <w:p>
      <w:pPr>
        <w:pStyle w:val="Heading1"/>
      </w:pPr>
      <w:r>
        <w:t>What Is Complete Outside Stability</w:t>
      </w:r>
    </w:p>
    <w:p>
      <w:pPr>
        <w:pStyle w:val="ListBullet"/>
      </w:pPr>
      <w:r>
        <w:t>The public/runtime data boundary is documented and reflected in the V5.2 workflow diagrams.</w:t>
      </w:r>
    </w:p>
    <w:p>
      <w:pPr>
        <w:pStyle w:val="ListBullet"/>
      </w:pPr>
      <w:r>
        <w:t>The approved-data schema coverage matrix preserves original headers and separates measured inputs, derived features, QC/alignment fields, calibration/reference fields, target-only fields, and unresolved fields.</w:t>
      </w:r>
    </w:p>
    <w:p>
      <w:pPr>
        <w:pStyle w:val="ListBullet"/>
      </w:pPr>
      <w:r>
        <w:t>The target registry and leakage guardrails keep Sgh, S_h, Sh, NMR_SAT, hydrate-saturation fields, Swr, S_wr, and phase labels out of the predictor matrix.</w:t>
      </w:r>
    </w:p>
    <w:p>
      <w:pPr>
        <w:pStyle w:val="ListBullet"/>
      </w:pPr>
      <w:r>
        <w:t>The Analyze Hydrates page includes Schema Coverage &amp; Architecture, Public ML Readiness, and Target Registry &amp; Leakage views without exposing approved rows or model metrics.</w:t>
      </w:r>
    </w:p>
    <w:p>
      <w:pPr>
        <w:pStyle w:val="ListBullet"/>
      </w:pPr>
      <w:r>
        <w:t>The future ML architecture is defined as a leakage-safe path to linked occurrence classification and saturation regression, but final training and performance reporting remain blocked until approved labels and complete rows are available.</w:t>
      </w:r>
    </w:p>
    <w:p>
      <w:pPr>
        <w:pStyle w:val="Heading1"/>
      </w:pPr>
      <w:r>
        <w:t>What Stability Currently Does</w:t>
      </w:r>
    </w:p>
    <w:p>
      <w:r>
        <w:t>The baseline public stability screen has 8,084 rows, 22 calculated pressure-temperature admissibility intervals, 8 sufficient-input no-stable-interval rows, and 8,054 blocked rows. It uses the cited methane 5 ppt phase lookup, hydrostatic absolute pressure, public G10015/GGD223 temperature and permafrost context, and source-control caveats.</w:t>
      </w:r>
    </w:p>
    <w:p>
      <w:pPr>
        <w:pStyle w:val="ListBullet"/>
      </w:pPr>
      <w:r>
        <w:t>It can serve the ML workflow as context, a mask, a confidence field, a caveat field, or a reason flag.</w:t>
      </w:r>
    </w:p>
    <w:p>
      <w:pPr>
        <w:pStyle w:val="ListBullet"/>
      </w:pPr>
      <w:r>
        <w:t>It does not prove hydrate occurrence, estimate saturation, define final top/base/thickness for approved interpretation, rank sweet spots, or replace log/core evidence.</w:t>
      </w:r>
    </w:p>
    <w:p>
      <w:pPr>
        <w:pStyle w:val="ListBullet"/>
      </w:pPr>
      <w:r>
        <w:t>Blocked rows mean the calculation refused to overclaim without required inputs; they do not mean no hydrate.</w:t>
      </w:r>
    </w:p>
    <w:p>
      <w:pPr>
        <w:pStyle w:val="Heading1"/>
      </w:pPr>
      <w:r>
        <w:t>How Approved OSL Data Feed The Future ML Pipeline</w:t>
      </w:r>
    </w:p>
    <w:p>
      <w:pPr>
        <w:pStyle w:val="ListNumber"/>
      </w:pPr>
      <w:r>
        <w:t>Approved LAS/CSV/core/NMR and workbook inputs are loaded only inside OSL or the approved runtime.</w:t>
      </w:r>
    </w:p>
    <w:p>
      <w:pPr>
        <w:pStyle w:val="ListNumber"/>
      </w:pPr>
      <w:r>
        <w:t>Original headers, units, sheet/source identity, and depth references are preserved before alias mapping.</w:t>
      </w:r>
    </w:p>
    <w:p>
      <w:pPr>
        <w:pStyle w:val="ListNumber"/>
      </w:pPr>
      <w:r>
        <w:t>Measured log families and approved derived physics equations build X allowed after unit checks, QC, and depth alignment.</w:t>
      </w:r>
    </w:p>
    <w:p>
      <w:pPr>
        <w:pStyle w:val="ListNumber"/>
      </w:pPr>
      <w:r>
        <w:t>Target-only occurrence and saturation fields bypass X allowed and are used only for target mapping, calibration, and validation overlays.</w:t>
      </w:r>
    </w:p>
    <w:p>
      <w:pPr>
        <w:pStyle w:val="ListNumber"/>
      </w:pPr>
      <w:r>
        <w:t>Occurrence evidence can come from core or pressure-core observations, NMR/core-derived saturation, validated log interpretation, or regional seismic indicators, but it remains target/validation evidence.</w:t>
      </w:r>
    </w:p>
    <w:p>
      <w:pPr>
        <w:pStyle w:val="ListNumber"/>
      </w:pPr>
      <w:r>
        <w:t>Validation uses complete wells, compartments, or geographic holdouts selected before preprocessing, tuning, or model fitting.</w:t>
      </w:r>
    </w:p>
    <w:p>
      <w:pPr>
        <w:pStyle w:val="ListNumber"/>
      </w:pPr>
      <w:r>
        <w:t>Reviewed outputs become occurrence probability, saturation estimate, uncertainty/QC/reason flags, plots, tables, GIS links, and public-safe summaries only after boundary review.</w:t>
      </w:r>
    </w:p>
    <w:p>
      <w:pPr>
        <w:pStyle w:val="Heading1"/>
      </w:pPr>
      <w:r>
        <w:t>Slide 3 Mentor Overview</w:t>
      </w:r>
    </w:p>
    <w:p>
      <w:r>
        <w:t>This version stays presentation-readable and leaves detailed evidence to the poster, runtime-detail slide, and later zoom slides.</w:t>
      </w:r>
    </w:p>
    <w:p>
      <w:r>
        <w:drawing>
          <wp:inline xmlns:a="http://schemas.openxmlformats.org/drawingml/2006/main" xmlns:pic="http://schemas.openxmlformats.org/drawingml/2006/picture">
            <wp:extent cx="9052560" cy="5092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roject_ml_workflow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9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Expanded Poster Detail</w:t>
      </w:r>
    </w:p>
    <w:p>
      <w:r>
        <w:t>This poster is the complete architecture reference. It includes the public source counts, approved OSL inputs later, stability equations, target-only labels, leakage controls, validation expectations, public-safe outputs, and mentor decision points.</w:t>
      </w:r>
    </w:p>
    <w:p>
      <w:r>
        <w:drawing>
          <wp:inline xmlns:a="http://schemas.openxmlformats.org/drawingml/2006/main" xmlns:pic="http://schemas.openxmlformats.org/drawingml/2006/picture">
            <wp:extent cx="9052560" cy="5222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roject_ml_workflow_flowchart_expan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ML Architecture Detail</w:t>
      </w:r>
    </w:p>
    <w:p>
      <w:r>
        <w:t>The companion architecture visual is embedded in slide 7 and expands the modeling block into feature groups, QC, the X allowed matrix, whole-well split controls, train-only preprocessing, a simplified candidate model, two output heads, and the target-only rail used for training labels and validation overlays.</w:t>
      </w:r>
    </w:p>
    <w:p>
      <w:r>
        <w:drawing>
          <wp:inline xmlns:a="http://schemas.openxmlformats.org/drawingml/2006/main" xmlns:pic="http://schemas.openxmlformats.org/drawingml/2006/picture">
            <wp:extent cx="9052560" cy="5222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network_detail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To Read The Diagram</w:t>
      </w:r>
    </w:p>
    <w:p>
      <w:pPr>
        <w:pStyle w:val="ListBullet"/>
      </w:pPr>
      <w:r>
        <w:t>The slide-sized summary separates source/schema controls, stability context, feature engineering, leakage-safe ML, and reviewed outputs.</w:t>
      </w:r>
    </w:p>
    <w:p>
      <w:pPr>
        <w:pStyle w:val="ListBullet"/>
      </w:pPr>
      <w:r>
        <w:t>The expanded poster shows the full OSL and approved-runtime path: raw source rebuilds, approved logs/core/NMR later, pressure-temperature stability context, feature engineering, modeling, and validation.</w:t>
      </w:r>
    </w:p>
    <w:p>
      <w:pPr>
        <w:pStyle w:val="ListBullet"/>
      </w:pPr>
      <w:r>
        <w:t>The equation blocks show how pressure, temperature, phase-boundary lookup, lithology, porosity, velocity, elastic, and saturation-baseline calculations become context fields, features, or validation checks.</w:t>
      </w:r>
    </w:p>
    <w:p>
      <w:pPr>
        <w:pStyle w:val="ListBullet"/>
      </w:pPr>
      <w:r>
        <w:t>The stability branch feeds context, masks, confidence labels, and caveats into the ML workflow. It does not become hydrate proof or a saturation label.</w:t>
      </w:r>
    </w:p>
    <w:p>
      <w:pPr>
        <w:pStyle w:val="ListBullet"/>
      </w:pPr>
      <w:r>
        <w:t>The leakage barrier keeps S_h, Sgh, NMR_SAT, phase labels, and final ranks out of predictor features unless a field is proven to be an independent measured input.</w:t>
      </w:r>
    </w:p>
    <w:p>
      <w:pPr>
        <w:pStyle w:val="ListBullet"/>
      </w:pPr>
      <w:r>
        <w:t>The final ML design keeps occurrence classification and saturation regression linked but separate.</w:t>
      </w:r>
    </w:p>
    <w:p>
      <w:pPr>
        <w:pStyle w:val="Heading1"/>
      </w:pPr>
      <w:r>
        <w:t>Current Status Shown In The Figure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Complete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Calculated</w:t>
            </w:r>
          </w:p>
        </w:tc>
        <w:tc>
          <w:tcPr>
            <w:tcW w:type="dxa" w:w="4752"/>
          </w:tcPr>
          <w:p>
            <w:r>
              <w:rPr>
                <w:b/>
              </w:rPr>
              <w:t>Blocked / Future</w:t>
            </w:r>
          </w:p>
        </w:tc>
      </w:tr>
      <w:tr>
        <w:tc>
          <w:tcPr>
            <w:tcW w:type="dxa" w:w="4752"/>
          </w:tcPr>
          <w:p>
            <w:r>
              <w:t>Public/OSL boundary; phase curve; pressure model; temperature-model logic; 8,084 public wells; 43 controls; 184 profiles; guarded writer.</w:t>
            </w:r>
          </w:p>
        </w:tc>
        <w:tc>
          <w:tcPr>
            <w:tcW w:type="dxa" w:w="4752"/>
          </w:tcPr>
          <w:p>
            <w:r>
              <w:t>919 temperature key depths, 387 extrapolated key depths, and 22 baseline stability-admissibility intervals.</w:t>
            </w:r>
          </w:p>
        </w:tc>
        <w:tc>
          <w:tcPr>
            <w:tcW w:type="dxa" w:w="4752"/>
          </w:tcPr>
          <w:p>
            <w:r>
              <w:t>15,249 temperature key-depth rows, 8,054 screen rows, approved logs/core/NMR, trained ML metrics, saturation outputs, hydrate proof, and sweet-spot ranking.</w:t>
            </w:r>
          </w:p>
        </w:tc>
      </w:tr>
    </w:tbl>
    <w:p>
      <w:pPr>
        <w:pStyle w:val="Heading1"/>
      </w:pPr>
      <w:r>
        <w:t>Required Guardrail Language</w:t>
      </w:r>
    </w:p>
    <w:p>
      <w:r>
        <w:t>This is a workflow and admissibility-screen diagram. It does not claim final hydrate stability, hydrate proof, hydrate saturation, validated ML performance, producibility, or sweet spots.</w:t>
      </w:r>
    </w:p>
    <w:p>
      <w:pPr>
        <w:pStyle w:val="Heading1"/>
      </w:pPr>
      <w:r>
        <w:t>Mentor Decisions Needed</w:t>
      </w:r>
    </w:p>
    <w:p>
      <w:pPr>
        <w:pStyle w:val="ListNumber"/>
      </w:pPr>
      <w:r>
        <w:t>Phase-curve policy: keep methane 5 ppt as the only official baseline, or add a clearly labeled scenario table?</w:t>
      </w:r>
    </w:p>
    <w:p>
      <w:pPr>
        <w:pStyle w:val="ListNumber"/>
      </w:pPr>
      <w:r>
        <w:t>Target authority: which occurrence and saturation labels are official when Sgh, S_h, Sh, NMR_SAT, hydrate saturation, or phase labels differ?</w:t>
      </w:r>
    </w:p>
    <w:p>
      <w:pPr>
        <w:pStyle w:val="ListNumber"/>
      </w:pPr>
      <w:r>
        <w:t>Validation split: should final testing use whole-well holdout, compartment holdout, geographic holdout, or a staged combination?</w:t>
      </w:r>
    </w:p>
    <w:p>
      <w:pPr>
        <w:pStyle w:val="ListNumber"/>
      </w:pPr>
      <w:r>
        <w:t>Temperature handling: when G10015 is missing, should rows stay blocked, use nearest-control proxy tiers, or use explicit scenario-only gradients?</w:t>
      </w:r>
    </w:p>
    <w:p>
      <w:pPr>
        <w:pStyle w:val="ListNumber"/>
      </w:pPr>
      <w:r>
        <w:t>ML use of stability: is the stability screen allowed as context, confidence, reason flag, or mask only, never as an occurrence label?</w:t>
      </w:r>
    </w:p>
    <w:p>
      <w:pPr>
        <w:pStyle w:val="ListNumber"/>
      </w:pPr>
      <w:r>
        <w:t>Public website outputs: which diagrams, counts, schema, caveat views, and readiness views are acceptable before approved model validation?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V5.2 North Slope Gas Hydrate Full ML Workflow Companion</dc:title>
  <dc:subject>V5.2 explanation of the public, OSL, stability, intake-validator, and ML workflow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