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 Slope Gas Hydrate Full ML Workflow Diagram</w:t>
      </w:r>
    </w:p>
    <w:p>
      <w:r>
        <w:t>This companion page explains the one-map workflow requested for the slide refresh. The figure connects source and schema controls, OpenScienceLab and approved-runtime inputs, the guarded pressure-temperature stability branch, well-log physics equations, the leakage barrier, occurrence classification, saturation regression, validation, and reviewed exports.</w:t>
      </w:r>
    </w:p>
    <w:p>
      <w:r>
        <w:drawing>
          <wp:inline xmlns:a="http://schemas.openxmlformats.org/drawingml/2006/main" xmlns:pic="http://schemas.openxmlformats.org/drawingml/2006/picture">
            <wp:extent cx="9052560" cy="5092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_project_ml_workflow_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52560" cy="5092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How To Read The Diagram</w:t>
      </w:r>
    </w:p>
    <w:p>
      <w:pPr>
        <w:pStyle w:val="ListBullet"/>
      </w:pPr>
      <w:r>
        <w:t>The left lane is source and schema control: public-source context, current status counts, original headers, unit checks, depth basis, and QC gates.</w:t>
      </w:r>
    </w:p>
    <w:p>
      <w:pPr>
        <w:pStyle w:val="ListBullet"/>
      </w:pPr>
      <w:r>
        <w:t>The center and right lanes are the OSL and approved-runtime path: raw source rebuilds, approved logs/core/NMR later, pressure-temperature stability context, feature engineering, modeling, and validation.</w:t>
      </w:r>
    </w:p>
    <w:p>
      <w:pPr>
        <w:pStyle w:val="ListBullet"/>
      </w:pPr>
      <w:r>
        <w:t>The equation blocks show how pressure, temperature, phase-boundary lookup, lithology, porosity, velocity, elastic, and saturation-baseline calculations become context fields, features, or validation checks.</w:t>
      </w:r>
    </w:p>
    <w:p>
      <w:pPr>
        <w:pStyle w:val="ListBullet"/>
      </w:pPr>
      <w:r>
        <w:t>The stability branch feeds context, masks, confidence labels, and caveats into the ML workflow. It does not become hydrate proof or a saturation label.</w:t>
      </w:r>
    </w:p>
    <w:p>
      <w:pPr>
        <w:pStyle w:val="ListBullet"/>
      </w:pPr>
      <w:r>
        <w:t>The leakage barrier keeps S_h, Sgh, NMR_SAT, phase labels, and final ranks out of predictor features unless a field is proven to be an independent measured input.</w:t>
      </w:r>
    </w:p>
    <w:p>
      <w:pPr>
        <w:pStyle w:val="ListBullet"/>
      </w:pPr>
      <w:r>
        <w:t>The final ML design keeps occurrence classification and saturation regression linked but separate.</w:t>
      </w:r>
    </w:p>
    <w:p>
      <w:pPr>
        <w:pStyle w:val="Heading1"/>
      </w:pPr>
      <w:r>
        <w:t>Current Status Shown In The Figure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</w:tcPr>
          <w:p>
            <w:r>
              <w:rPr>
                <w:b/>
              </w:rPr>
              <w:t>Complete</w:t>
            </w:r>
          </w:p>
        </w:tc>
        <w:tc>
          <w:tcPr>
            <w:tcW w:type="dxa" w:w="4752"/>
          </w:tcPr>
          <w:p>
            <w:r>
              <w:rPr>
                <w:b/>
              </w:rPr>
              <w:t>Calculated</w:t>
            </w:r>
          </w:p>
        </w:tc>
        <w:tc>
          <w:tcPr>
            <w:tcW w:type="dxa" w:w="4752"/>
          </w:tcPr>
          <w:p>
            <w:r>
              <w:rPr>
                <w:b/>
              </w:rPr>
              <w:t>Blocked / Future</w:t>
            </w:r>
          </w:p>
        </w:tc>
      </w:tr>
      <w:tr>
        <w:tc>
          <w:tcPr>
            <w:tcW w:type="dxa" w:w="4752"/>
          </w:tcPr>
          <w:p>
            <w:r>
              <w:t>Public/OSL boundary; phase curve; pressure model; temperature-model logic; source-control labels; guarded writer.</w:t>
            </w:r>
          </w:p>
        </w:tc>
        <w:tc>
          <w:tcPr>
            <w:tcW w:type="dxa" w:w="4752"/>
          </w:tcPr>
          <w:p>
            <w:r>
              <w:t>919 temperature key depths, 387 extrapolated key depths, and 22 baseline stability-admissibility intervals.</w:t>
            </w:r>
          </w:p>
        </w:tc>
        <w:tc>
          <w:tcPr>
            <w:tcW w:type="dxa" w:w="4752"/>
          </w:tcPr>
          <w:p>
            <w:r>
              <w:t>15,249 temperature key-depth rows, 8,054 screen rows, approved logs/core/NMR, trained ML metrics, saturation outputs, hydrate proof, and sweet-spot ranking.</w:t>
            </w:r>
          </w:p>
        </w:tc>
      </w:tr>
    </w:tbl>
    <w:p>
      <w:pPr>
        <w:pStyle w:val="Heading1"/>
      </w:pPr>
      <w:r>
        <w:t>Required Guardrail Language</w:t>
      </w:r>
    </w:p>
    <w:p>
      <w:r>
        <w:t>This is a workflow and admissibility-screen diagram. It does not claim final hydrate stability, hydrate proof, hydrate saturation, validated ML performance, producibility, or sweet spots.</w:t>
      </w:r>
    </w:p>
    <w:sectPr w:rsidR="00FC693F" w:rsidRPr="0006063C" w:rsidSect="00034616"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 Slope Gas Hydrate Full ML Workflow Diagram</dc:title>
  <dc:subject>Diagram-first explanation of the public, OSL, stability, and ML workflow</dc:subject>
  <dc:creator>North Slope Gas Hydrates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