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Play" w:cs="Play" w:eastAsia="Play" w:hAnsi="Play"/>
          <w:b w:val="1"/>
          <w:bCs w:val="1"/>
          <w:color w:val="123447"/>
          <w:sz w:val="40"/>
          <w:szCs w:val="40"/>
          <w:rtl w:val="0"/>
        </w:rPr>
        <w:t xml:space="preserve">Gas Hydrate Occurrence and Saturation Prediction in Permafrost Sediments on the Alaska North Slope Using AI/ML</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Aptos" w:cs="Aptos" w:eastAsia="Aptos" w:hAnsi="Aptos"/>
          <w:color w:val="5e6a71"/>
          <w:sz w:val="21"/>
          <w:szCs w:val="21"/>
          <w:rtl w:val="0"/>
        </w:rPr>
        <w:t xml:space="preserve">Research-paper outline with filled abstract and introduction</w:t>
      </w:r>
      <w:r w:rsidDel="00000000" w:rsidR="00000000" w:rsidRPr="00000000">
        <w:rPr>
          <w:rtl w:val="0"/>
        </w:rPr>
      </w:r>
    </w:p>
    <w:tbl>
      <w:tblPr>
        <w:tblStyle w:val="Table1"/>
        <w:tblW w:w="10080.0" w:type="dxa"/>
        <w:jc w:val="left"/>
        <w:tblInd w:w="-108.0" w:type="dxa"/>
        <w:tblBorders>
          <w:top w:color="d2c8b8" w:space="0" w:sz="4" w:val="single"/>
          <w:left w:color="d2c8b8" w:space="0" w:sz="4" w:val="single"/>
          <w:bottom w:color="d2c8b8" w:space="0" w:sz="4" w:val="single"/>
          <w:right w:color="d2c8b8" w:space="0" w:sz="4" w:val="single"/>
          <w:insideH w:color="d2c8b8" w:space="0" w:sz="4" w:val="single"/>
          <w:insideV w:color="d2c8b8" w:space="0" w:sz="4" w:val="single"/>
        </w:tblBorders>
        <w:tblLayout w:type="fixed"/>
        <w:tblLook w:val="0400"/>
      </w:tblPr>
      <w:tblGrid>
        <w:gridCol w:w="10080"/>
        <w:tblGridChange w:id="0">
          <w:tblGrid>
            <w:gridCol w:w="10080"/>
          </w:tblGrid>
        </w:tblGridChange>
      </w:tblGrid>
      <w:tr>
        <w:trPr>
          <w:cantSplit w:val="0"/>
          <w:tblHeader w:val="0"/>
        </w:trPr>
        <w:tc>
          <w:tcPr>
            <w:shd w:fill="f4efe6" w:val="clear"/>
          </w:tcPr>
          <w:p w:rsidR="00000000" w:rsidDel="00000000" w:rsidP="00000000" w:rsidRDefault="00000000" w:rsidRPr="00000000" w14:paraId="00000003">
            <w:pPr>
              <w:spacing w:after="0" w:line="252.00000000000003" w:lineRule="auto"/>
              <w:jc w:val="left"/>
              <w:rPr/>
            </w:pPr>
            <w:r w:rsidDel="00000000" w:rsidR="00000000" w:rsidRPr="00000000">
              <w:rPr>
                <w:rFonts w:ascii="Aptos" w:cs="Aptos" w:eastAsia="Aptos" w:hAnsi="Aptos"/>
                <w:b w:val="1"/>
                <w:bCs w:val="1"/>
                <w:color w:val="123447"/>
                <w:sz w:val="18"/>
                <w:szCs w:val="18"/>
                <w:rtl w:val="0"/>
              </w:rPr>
              <w:t xml:space="preserve">Boundary: this public-source planning document contains no restricted well logs, approved-runtime data, named restricted well identifiers, populated model results, credentials, or sensitive derived outputs.</w:t>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spacing w:after="100" w:line="264" w:lineRule="auto"/>
        <w:rPr/>
      </w:pPr>
      <w:r w:rsidDel="00000000" w:rsidR="00000000" w:rsidRPr="00000000">
        <w:rPr>
          <w:rFonts w:ascii="Aptos" w:cs="Aptos" w:eastAsia="Aptos" w:hAnsi="Aptos"/>
          <w:color w:val="1f2933"/>
          <w:sz w:val="20"/>
          <w:szCs w:val="20"/>
          <w:rtl w:val="0"/>
        </w:rPr>
        <w:t xml:space="preserve">Gas hydrates are solid crystalline compounds in which gas molecules, dominantly methane, are trapped inside cages of water molecules under cold and high-pressure conditions. On the Alaska North Slope, permafrost and shallow subsurface pressure-temperature conditions create a setting where hydrate can accumulate in sand-rich reservoirs and represent a significant natural-gas resource. The United States Geological Survey assessed the North Slope gas hydrate system as containing a mean of approximately 53.8 trillion cubic feet of undiscovered, technically recoverable gas in hydrate accumulations, making the region an important target for energy-resource characterization and long-term energy security planning. This project develops a physics-constrained machine-learning workflow for predicting gas hydrate occurrence and saturation from approved well-log and core-analysis data. The workflow will compile published AI/ML methods, generate a depth-indexed dataset from density, porosity, natural gamma ray, resistivity, acoustic velocity, NMR, and core measurements, train classification and regression models, and calibrate predictions against core and interpreted saturation evidence. The expected outcome is an auditable reservoir characterization framework that separates hydrate occurrence, saturation, reservoir quality, uncertainty, and later producibility screening.</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Introduction</w:t>
      </w:r>
    </w:p>
    <w:p w:rsidR="00000000" w:rsidDel="00000000" w:rsidP="00000000" w:rsidRDefault="00000000" w:rsidRPr="00000000" w14:paraId="00000008">
      <w:pPr>
        <w:spacing w:after="100" w:line="264" w:lineRule="auto"/>
        <w:rPr/>
      </w:pPr>
      <w:r w:rsidDel="00000000" w:rsidR="00000000" w:rsidRPr="00000000">
        <w:rPr>
          <w:rFonts w:ascii="Aptos" w:cs="Aptos" w:eastAsia="Aptos" w:hAnsi="Aptos"/>
          <w:color w:val="1f2933"/>
          <w:sz w:val="20"/>
          <w:szCs w:val="20"/>
          <w:rtl w:val="0"/>
        </w:rPr>
        <w:t xml:space="preserve">Gas hydrates are ice-like solids that store methane in the pore systems of sediment. They are not conventional gas reservoirs, because the gas is held in a solid water-gas structure rather than existing as a free gas phase. Their formation requires pressure-temperature stability, but stability alone is not enough to produce an accumulation. A reservoir interval must also have pore space, a supply of gas, migration pathways, water, and geologic architecture that allows hydrate to occupy and remain within the sediment. This distinction is central to the Alaska North Slope project. The purpose is not only to ask where hydrate could be stable, but to identify which intervals are most likely to contain hydrate, how much pore volume is occupied, and how reliable that interpretation is.</w:t>
      </w:r>
      <w:r w:rsidDel="00000000" w:rsidR="00000000" w:rsidRPr="00000000">
        <w:rPr>
          <w:rtl w:val="0"/>
        </w:rPr>
      </w:r>
    </w:p>
    <w:p w:rsidR="00000000" w:rsidDel="00000000" w:rsidP="00000000" w:rsidRDefault="00000000" w:rsidRPr="00000000" w14:paraId="00000009">
      <w:pPr>
        <w:spacing w:after="100" w:line="264" w:lineRule="auto"/>
        <w:rPr/>
      </w:pPr>
      <w:r w:rsidDel="00000000" w:rsidR="00000000" w:rsidRPr="00000000">
        <w:rPr>
          <w:rFonts w:ascii="Aptos" w:cs="Aptos" w:eastAsia="Aptos" w:hAnsi="Aptos"/>
          <w:color w:val="1f2933"/>
          <w:sz w:val="20"/>
          <w:szCs w:val="20"/>
          <w:rtl w:val="0"/>
        </w:rPr>
        <w:t xml:space="preserve">The Alaska North Slope is a strong study area because it combines permafrost-associated hydrate stability, documented hydrate-bearing test wells, public regional geologic context, and a history of DOE, NETL, USGS, and industry-supported hydrate research. Mount Elbert, Hydrate-01, and Eileen-trend studies show that hydrate-bearing sands can be investigated using a multi-log interpretation that includes resistivity, density, neutron and NMR porosity, sonic velocity, and core calibration. This project uses that research base to build a practical workflow for approved data. The final scientific question is whether well-log and core measurements can be processed into reliable machine-learning features that predict occurrence and saturation across known and prediction wells.</w:t>
      </w:r>
      <w:r w:rsidDel="00000000" w:rsidR="00000000" w:rsidRPr="00000000">
        <w:rPr>
          <w:rtl w:val="0"/>
        </w:rPr>
      </w:r>
    </w:p>
    <w:p w:rsidR="00000000" w:rsidDel="00000000" w:rsidP="00000000" w:rsidRDefault="00000000" w:rsidRPr="00000000" w14:paraId="0000000A">
      <w:pPr>
        <w:spacing w:after="100" w:line="264" w:lineRule="auto"/>
        <w:rPr/>
      </w:pPr>
      <w:r w:rsidDel="00000000" w:rsidR="00000000" w:rsidRPr="00000000">
        <w:rPr>
          <w:rFonts w:ascii="Aptos" w:cs="Aptos" w:eastAsia="Aptos" w:hAnsi="Aptos"/>
          <w:color w:val="1f2933"/>
          <w:sz w:val="20"/>
          <w:szCs w:val="20"/>
          <w:rtl w:val="0"/>
        </w:rPr>
        <w:t xml:space="preserve">Characterizing a gas hydrate reservoir matters because a regional resource estimate does not identify the best intervals for detailed evaluation. Characterization translates resource potential into interval-scale evidence. It asks whether the rock is a reservoir, whether the log response is consistent with hydrate rather than gas, ice, shale, carbonate, coal, or borehole effects, whether NMR or core evidence supports a saturation estimate, and whether the uncertainty is low enough for the result to be used in a technical decision. High resistivity alone is not a hydrate label, and high saturation alone is not a producibility ranking. Occurrence, saturation, reservoir quality, uncertainty, and producibility must remain separate outputs.</w:t>
      </w:r>
      <w:r w:rsidDel="00000000" w:rsidR="00000000" w:rsidRPr="00000000">
        <w:rPr>
          <w:rtl w:val="0"/>
        </w:rPr>
      </w:r>
    </w:p>
    <w:p w:rsidR="00000000" w:rsidDel="00000000" w:rsidP="00000000" w:rsidRDefault="00000000" w:rsidRPr="00000000" w14:paraId="0000000B">
      <w:pPr>
        <w:spacing w:after="100" w:line="264" w:lineRule="auto"/>
        <w:rPr/>
      </w:pPr>
      <w:r w:rsidDel="00000000" w:rsidR="00000000" w:rsidRPr="00000000">
        <w:rPr>
          <w:rFonts w:ascii="Aptos" w:cs="Aptos" w:eastAsia="Aptos" w:hAnsi="Aptos"/>
          <w:color w:val="1f2933"/>
          <w:sz w:val="20"/>
          <w:szCs w:val="20"/>
          <w:rtl w:val="0"/>
        </w:rPr>
        <w:t xml:space="preserve">The project will use all available screenshot-listed fields and NMR where present. The expected input families include depth, location, gamma ray, density, density porosity, neutron porosity, NMR porosity, resistivity, caliper, Vp, Vs, Vp/Vs, acoustic impedance, interpreted hydrate saturation fields such as Sgh or S_h, NMR-derived saturation where supplied, core porosity, permeability, lithology, and quality flags. These variables are scientifically useful only when their roles are controlled. Measured curves, derived features, quality-control fields, alignment fields, and supervised targets must be separated so that the model does not accidentally learn from the answer column it is supposed to predict.</w:t>
      </w: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rtl w:val="0"/>
        </w:rPr>
        <w:t xml:space="preserve">Conceptual hydrate-reservoir sketch</w:t>
      </w:r>
    </w:p>
    <w:tbl>
      <w:tblPr>
        <w:tblStyle w:val="Table2"/>
        <w:tblW w:w="10076.000000000002" w:type="dxa"/>
        <w:jc w:val="left"/>
        <w:tblInd w:w="-108.0" w:type="dxa"/>
        <w:tblBorders>
          <w:top w:color="c5d3d8" w:space="0" w:sz="4" w:val="single"/>
          <w:left w:color="c5d3d8" w:space="0" w:sz="4" w:val="single"/>
          <w:bottom w:color="c5d3d8" w:space="0" w:sz="4" w:val="single"/>
          <w:right w:color="c5d3d8" w:space="0" w:sz="4" w:val="single"/>
          <w:insideH w:color="c5d3d8" w:space="0" w:sz="4" w:val="single"/>
          <w:insideV w:color="c5d3d8" w:space="0" w:sz="4" w:val="single"/>
        </w:tblBorders>
        <w:tblLayout w:type="fixed"/>
        <w:tblLook w:val="0400"/>
      </w:tblPr>
      <w:tblGrid>
        <w:gridCol w:w="916"/>
        <w:gridCol w:w="916"/>
        <w:gridCol w:w="916"/>
        <w:gridCol w:w="916"/>
        <w:gridCol w:w="916"/>
        <w:gridCol w:w="916"/>
        <w:gridCol w:w="916"/>
        <w:gridCol w:w="916"/>
        <w:gridCol w:w="916"/>
        <w:gridCol w:w="916"/>
        <w:gridCol w:w="916"/>
        <w:tblGridChange w:id="0">
          <w:tblGrid>
            <w:gridCol w:w="916"/>
            <w:gridCol w:w="916"/>
            <w:gridCol w:w="916"/>
            <w:gridCol w:w="916"/>
            <w:gridCol w:w="916"/>
            <w:gridCol w:w="916"/>
            <w:gridCol w:w="916"/>
            <w:gridCol w:w="916"/>
            <w:gridCol w:w="916"/>
            <w:gridCol w:w="916"/>
            <w:gridCol w:w="916"/>
          </w:tblGrid>
        </w:tblGridChange>
      </w:tblGrid>
      <w:tr>
        <w:trPr>
          <w:cantSplit w:val="0"/>
          <w:tblHeader w:val="0"/>
        </w:trPr>
        <w:tc>
          <w:tcPr>
            <w:shd w:fill="f4efe6" w:val="clear"/>
          </w:tcPr>
          <w:p w:rsidR="00000000" w:rsidDel="00000000" w:rsidP="00000000" w:rsidRDefault="00000000" w:rsidRPr="00000000" w14:paraId="0000000D">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stability</w:t>
            </w:r>
            <w:r w:rsidDel="00000000" w:rsidR="00000000" w:rsidRPr="00000000">
              <w:rPr>
                <w:rtl w:val="0"/>
              </w:rPr>
            </w:r>
          </w:p>
        </w:tc>
        <w:tc>
          <w:tcPr>
            <w:shd w:fill="ffffff" w:val="clear"/>
          </w:tcPr>
          <w:p w:rsidR="00000000" w:rsidDel="00000000" w:rsidP="00000000" w:rsidRDefault="00000000" w:rsidRPr="00000000" w14:paraId="0000000E">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0F">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reservoir sand</w:t>
            </w:r>
            <w:r w:rsidDel="00000000" w:rsidR="00000000" w:rsidRPr="00000000">
              <w:rPr>
                <w:rtl w:val="0"/>
              </w:rPr>
            </w:r>
          </w:p>
        </w:tc>
        <w:tc>
          <w:tcPr>
            <w:shd w:fill="ffffff" w:val="clear"/>
          </w:tcPr>
          <w:p w:rsidR="00000000" w:rsidDel="00000000" w:rsidP="00000000" w:rsidRDefault="00000000" w:rsidRPr="00000000" w14:paraId="00000010">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11">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gas charge</w:t>
            </w:r>
            <w:r w:rsidDel="00000000" w:rsidR="00000000" w:rsidRPr="00000000">
              <w:rPr>
                <w:rtl w:val="0"/>
              </w:rPr>
            </w:r>
          </w:p>
        </w:tc>
        <w:tc>
          <w:tcPr>
            <w:shd w:fill="ffffff" w:val="clear"/>
          </w:tcPr>
          <w:p w:rsidR="00000000" w:rsidDel="00000000" w:rsidP="00000000" w:rsidRDefault="00000000" w:rsidRPr="00000000" w14:paraId="00000012">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13">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multi-log evidence</w:t>
            </w:r>
            <w:r w:rsidDel="00000000" w:rsidR="00000000" w:rsidRPr="00000000">
              <w:rPr>
                <w:rtl w:val="0"/>
              </w:rPr>
            </w:r>
          </w:p>
        </w:tc>
        <w:tc>
          <w:tcPr>
            <w:shd w:fill="ffffff" w:val="clear"/>
          </w:tcPr>
          <w:p w:rsidR="00000000" w:rsidDel="00000000" w:rsidP="00000000" w:rsidRDefault="00000000" w:rsidRPr="00000000" w14:paraId="00000014">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15">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saturation</w:t>
            </w:r>
            <w:r w:rsidDel="00000000" w:rsidR="00000000" w:rsidRPr="00000000">
              <w:rPr>
                <w:rtl w:val="0"/>
              </w:rPr>
            </w:r>
          </w:p>
        </w:tc>
        <w:tc>
          <w:tcPr>
            <w:shd w:fill="ffffff" w:val="clear"/>
          </w:tcPr>
          <w:p w:rsidR="00000000" w:rsidDel="00000000" w:rsidP="00000000" w:rsidRDefault="00000000" w:rsidRPr="00000000" w14:paraId="00000016">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f4efe6" w:val="clear"/>
          </w:tcPr>
          <w:p w:rsidR="00000000" w:rsidDel="00000000" w:rsidP="00000000" w:rsidRDefault="00000000" w:rsidRPr="00000000" w14:paraId="00000017">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sweet spot</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100" w:line="264" w:lineRule="auto"/>
        <w:rPr/>
      </w:pPr>
      <w:r w:rsidDel="00000000" w:rsidR="00000000" w:rsidRPr="00000000">
        <w:rPr>
          <w:rFonts w:ascii="Aptos" w:cs="Aptos" w:eastAsia="Aptos" w:hAnsi="Aptos"/>
          <w:color w:val="1f2933"/>
          <w:sz w:val="20"/>
          <w:szCs w:val="20"/>
          <w:rtl w:val="0"/>
        </w:rPr>
        <w:t xml:space="preserve">The machine-learning component will follow a staged workflow rather than immediately relying on a black-box model. Raw well-log data must first be compared, cleaned, depth-aligned, and screened for outliers and borehole-quality problems. Relevant depth intervals will then be selected, processed into a consistent dataset, and transformed into petrophysical and geomechanical features. The project will compare historical AI/ML approaches for gas hydrate occurrence and saturation prediction, then use baseline classification and regression models before testing nonlinear models such as artificial neural networks. Keras-based neural-network workflows are appropriate only after the training labels, curve coverage, and validation design are defensible.</w:t>
      </w: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Approved-data processing sketch</w:t>
      </w:r>
    </w:p>
    <w:tbl>
      <w:tblPr>
        <w:tblStyle w:val="Table3"/>
        <w:tblW w:w="10076.000000000002" w:type="dxa"/>
        <w:jc w:val="left"/>
        <w:tblInd w:w="-108.0" w:type="dxa"/>
        <w:tblBorders>
          <w:top w:color="c5d3d8" w:space="0" w:sz="4" w:val="single"/>
          <w:left w:color="c5d3d8" w:space="0" w:sz="4" w:val="single"/>
          <w:bottom w:color="c5d3d8" w:space="0" w:sz="4" w:val="single"/>
          <w:right w:color="c5d3d8" w:space="0" w:sz="4" w:val="single"/>
          <w:insideH w:color="c5d3d8" w:space="0" w:sz="4" w:val="single"/>
          <w:insideV w:color="c5d3d8" w:space="0" w:sz="4" w:val="single"/>
        </w:tblBorders>
        <w:tblLayout w:type="fixed"/>
        <w:tblLook w:val="0400"/>
      </w:tblPr>
      <w:tblGrid>
        <w:gridCol w:w="916"/>
        <w:gridCol w:w="916"/>
        <w:gridCol w:w="916"/>
        <w:gridCol w:w="916"/>
        <w:gridCol w:w="916"/>
        <w:gridCol w:w="916"/>
        <w:gridCol w:w="916"/>
        <w:gridCol w:w="916"/>
        <w:gridCol w:w="916"/>
        <w:gridCol w:w="916"/>
        <w:gridCol w:w="916"/>
        <w:tblGridChange w:id="0">
          <w:tblGrid>
            <w:gridCol w:w="916"/>
            <w:gridCol w:w="916"/>
            <w:gridCol w:w="916"/>
            <w:gridCol w:w="916"/>
            <w:gridCol w:w="916"/>
            <w:gridCol w:w="916"/>
            <w:gridCol w:w="916"/>
            <w:gridCol w:w="916"/>
            <w:gridCol w:w="916"/>
            <w:gridCol w:w="916"/>
            <w:gridCol w:w="916"/>
          </w:tblGrid>
        </w:tblGridChange>
      </w:tblGrid>
      <w:tr>
        <w:trPr>
          <w:cantSplit w:val="0"/>
          <w:tblHeader w:val="0"/>
        </w:trPr>
        <w:tc>
          <w:tcPr>
            <w:shd w:fill="eaf5f6" w:val="clear"/>
          </w:tcPr>
          <w:p w:rsidR="00000000" w:rsidDel="00000000" w:rsidP="00000000" w:rsidRDefault="00000000" w:rsidRPr="00000000" w14:paraId="0000001B">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raw logs</w:t>
            </w:r>
            <w:r w:rsidDel="00000000" w:rsidR="00000000" w:rsidRPr="00000000">
              <w:rPr>
                <w:rtl w:val="0"/>
              </w:rPr>
            </w:r>
          </w:p>
        </w:tc>
        <w:tc>
          <w:tcPr>
            <w:shd w:fill="ffffff" w:val="clear"/>
          </w:tcPr>
          <w:p w:rsidR="00000000" w:rsidDel="00000000" w:rsidP="00000000" w:rsidRDefault="00000000" w:rsidRPr="00000000" w14:paraId="0000001C">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1D">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QC</w:t>
            </w:r>
            <w:r w:rsidDel="00000000" w:rsidR="00000000" w:rsidRPr="00000000">
              <w:rPr>
                <w:rtl w:val="0"/>
              </w:rPr>
            </w:r>
          </w:p>
        </w:tc>
        <w:tc>
          <w:tcPr>
            <w:shd w:fill="ffffff" w:val="clear"/>
          </w:tcPr>
          <w:p w:rsidR="00000000" w:rsidDel="00000000" w:rsidP="00000000" w:rsidRDefault="00000000" w:rsidRPr="00000000" w14:paraId="0000001E">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1F">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features</w:t>
            </w:r>
            <w:r w:rsidDel="00000000" w:rsidR="00000000" w:rsidRPr="00000000">
              <w:rPr>
                <w:rtl w:val="0"/>
              </w:rPr>
            </w:r>
          </w:p>
        </w:tc>
        <w:tc>
          <w:tcPr>
            <w:shd w:fill="ffffff" w:val="clear"/>
          </w:tcPr>
          <w:p w:rsidR="00000000" w:rsidDel="00000000" w:rsidP="00000000" w:rsidRDefault="00000000" w:rsidRPr="00000000" w14:paraId="00000020">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21">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labels</w:t>
            </w:r>
            <w:r w:rsidDel="00000000" w:rsidR="00000000" w:rsidRPr="00000000">
              <w:rPr>
                <w:rtl w:val="0"/>
              </w:rPr>
            </w:r>
          </w:p>
        </w:tc>
        <w:tc>
          <w:tcPr>
            <w:shd w:fill="ffffff" w:val="clear"/>
          </w:tcPr>
          <w:p w:rsidR="00000000" w:rsidDel="00000000" w:rsidP="00000000" w:rsidRDefault="00000000" w:rsidRPr="00000000" w14:paraId="00000022">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23">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ML models</w:t>
            </w:r>
            <w:r w:rsidDel="00000000" w:rsidR="00000000" w:rsidRPr="00000000">
              <w:rPr>
                <w:rtl w:val="0"/>
              </w:rPr>
            </w:r>
          </w:p>
        </w:tc>
        <w:tc>
          <w:tcPr>
            <w:shd w:fill="ffffff" w:val="clear"/>
          </w:tcPr>
          <w:p w:rsidR="00000000" w:rsidDel="00000000" w:rsidP="00000000" w:rsidRDefault="00000000" w:rsidRPr="00000000" w14:paraId="00000024">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25">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validated outputs</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100" w:line="264" w:lineRule="auto"/>
        <w:rPr/>
      </w:pPr>
      <w:r w:rsidDel="00000000" w:rsidR="00000000" w:rsidRPr="00000000">
        <w:rPr>
          <w:rFonts w:ascii="Aptos" w:cs="Aptos" w:eastAsia="Aptos" w:hAnsi="Aptos"/>
          <w:color w:val="1f2933"/>
          <w:sz w:val="20"/>
          <w:szCs w:val="20"/>
          <w:rtl w:val="0"/>
        </w:rPr>
        <w:t xml:space="preserve">A key methodological control is validation by complete well. Randomly splitting neighboring depth samples can make performance appear stronger than it will be on an unseen well because adjacent samples are highly correlated. The planned workflow will reserve complete wells for validation and testing, report classification and regression error, and compare predicted saturation against core and interpreted reference measurements. The final deliverables will present the work in graphical and tabular form so that conclusions, recommendations, and uncertainty can be reviewed by geoscientists and energy-resource decision makers.</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Parameters</w:t>
      </w:r>
    </w:p>
    <w:p w:rsidR="00000000" w:rsidDel="00000000" w:rsidP="00000000" w:rsidRDefault="00000000" w:rsidRPr="00000000" w14:paraId="00000029">
      <w:pPr>
        <w:spacing w:after="100" w:line="264" w:lineRule="auto"/>
        <w:rPr/>
      </w:pPr>
      <w:r w:rsidDel="00000000" w:rsidR="00000000" w:rsidRPr="00000000">
        <w:rPr>
          <w:rFonts w:ascii="Aptos" w:cs="Aptos" w:eastAsia="Aptos" w:hAnsi="Aptos"/>
          <w:color w:val="1f2933"/>
          <w:sz w:val="20"/>
          <w:szCs w:val="20"/>
          <w:rtl w:val="0"/>
        </w:rPr>
        <w:t xml:space="preserve">This section will define each input variable, unit convention, source mnemonic, derived feature, and target field used in the approved-data workflow, including density, porosity, gamma ray, resistivity, Vp, Vs, NMR, caliper, hydrate saturation, core porosity, core permeability, and lithology.</w:t>
      </w: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tl w:val="0"/>
        </w:rPr>
        <w:t xml:space="preserve">Parameter-role sketch</w:t>
      </w:r>
    </w:p>
    <w:tbl>
      <w:tblPr>
        <w:tblStyle w:val="Table4"/>
        <w:tblW w:w="10080.0" w:type="dxa"/>
        <w:jc w:val="left"/>
        <w:tblInd w:w="-108.0" w:type="dxa"/>
        <w:tblBorders>
          <w:top w:color="c5d3d8" w:space="0" w:sz="4" w:val="single"/>
          <w:left w:color="c5d3d8" w:space="0" w:sz="4" w:val="single"/>
          <w:bottom w:color="c5d3d8" w:space="0" w:sz="4" w:val="single"/>
          <w:right w:color="c5d3d8" w:space="0" w:sz="4" w:val="single"/>
          <w:insideH w:color="c5d3d8" w:space="0" w:sz="4" w:val="single"/>
          <w:insideV w:color="c5d3d8" w:space="0" w:sz="4" w:val="single"/>
        </w:tblBorders>
        <w:tblLayout w:type="fixed"/>
        <w:tblLook w:val="0400"/>
      </w:tblPr>
      <w:tblGrid>
        <w:gridCol w:w="1120"/>
        <w:gridCol w:w="1120"/>
        <w:gridCol w:w="1120"/>
        <w:gridCol w:w="1120"/>
        <w:gridCol w:w="1120"/>
        <w:gridCol w:w="1120"/>
        <w:gridCol w:w="1120"/>
        <w:gridCol w:w="1120"/>
        <w:gridCol w:w="1120"/>
        <w:tblGridChange w:id="0">
          <w:tblGrid>
            <w:gridCol w:w="1120"/>
            <w:gridCol w:w="1120"/>
            <w:gridCol w:w="1120"/>
            <w:gridCol w:w="1120"/>
            <w:gridCol w:w="1120"/>
            <w:gridCol w:w="1120"/>
            <w:gridCol w:w="1120"/>
            <w:gridCol w:w="1120"/>
            <w:gridCol w:w="1120"/>
          </w:tblGrid>
        </w:tblGridChange>
      </w:tblGrid>
      <w:tr>
        <w:trPr>
          <w:cantSplit w:val="0"/>
          <w:tblHeader w:val="0"/>
        </w:trPr>
        <w:tc>
          <w:tcPr>
            <w:shd w:fill="f4efe6" w:val="clear"/>
          </w:tcPr>
          <w:p w:rsidR="00000000" w:rsidDel="00000000" w:rsidP="00000000" w:rsidRDefault="00000000" w:rsidRPr="00000000" w14:paraId="0000002B">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measured logs</w:t>
            </w:r>
            <w:r w:rsidDel="00000000" w:rsidR="00000000" w:rsidRPr="00000000">
              <w:rPr>
                <w:rtl w:val="0"/>
              </w:rPr>
            </w:r>
          </w:p>
        </w:tc>
        <w:tc>
          <w:tcPr>
            <w:shd w:fill="ffffff" w:val="clear"/>
          </w:tcPr>
          <w:p w:rsidR="00000000" w:rsidDel="00000000" w:rsidP="00000000" w:rsidRDefault="00000000" w:rsidRPr="00000000" w14:paraId="0000002C">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2D">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derived physics</w:t>
            </w:r>
            <w:r w:rsidDel="00000000" w:rsidR="00000000" w:rsidRPr="00000000">
              <w:rPr>
                <w:rtl w:val="0"/>
              </w:rPr>
            </w:r>
          </w:p>
        </w:tc>
        <w:tc>
          <w:tcPr>
            <w:shd w:fill="ffffff" w:val="clear"/>
          </w:tcPr>
          <w:p w:rsidR="00000000" w:rsidDel="00000000" w:rsidP="00000000" w:rsidRDefault="00000000" w:rsidRPr="00000000" w14:paraId="0000002E">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2F">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QC flags</w:t>
            </w:r>
            <w:r w:rsidDel="00000000" w:rsidR="00000000" w:rsidRPr="00000000">
              <w:rPr>
                <w:rtl w:val="0"/>
              </w:rPr>
            </w:r>
          </w:p>
        </w:tc>
        <w:tc>
          <w:tcPr>
            <w:shd w:fill="ffffff" w:val="clear"/>
          </w:tcPr>
          <w:p w:rsidR="00000000" w:rsidDel="00000000" w:rsidP="00000000" w:rsidRDefault="00000000" w:rsidRPr="00000000" w14:paraId="00000030">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31">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targets</w:t>
            </w:r>
            <w:r w:rsidDel="00000000" w:rsidR="00000000" w:rsidRPr="00000000">
              <w:rPr>
                <w:rtl w:val="0"/>
              </w:rPr>
            </w:r>
          </w:p>
        </w:tc>
        <w:tc>
          <w:tcPr>
            <w:shd w:fill="ffffff" w:val="clear"/>
          </w:tcPr>
          <w:p w:rsidR="00000000" w:rsidDel="00000000" w:rsidP="00000000" w:rsidRDefault="00000000" w:rsidRPr="00000000" w14:paraId="00000032">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f4efe6" w:val="clear"/>
          </w:tcPr>
          <w:p w:rsidR="00000000" w:rsidDel="00000000" w:rsidP="00000000" w:rsidRDefault="00000000" w:rsidRPr="00000000" w14:paraId="00000033">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outputs</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Methodology</w:t>
      </w:r>
    </w:p>
    <w:p w:rsidR="00000000" w:rsidDel="00000000" w:rsidP="00000000" w:rsidRDefault="00000000" w:rsidRPr="00000000" w14:paraId="00000036">
      <w:pPr>
        <w:spacing w:after="100" w:line="264" w:lineRule="auto"/>
        <w:rPr/>
      </w:pPr>
      <w:r w:rsidDel="00000000" w:rsidR="00000000" w:rsidRPr="00000000">
        <w:rPr>
          <w:rFonts w:ascii="Aptos" w:cs="Aptos" w:eastAsia="Aptos" w:hAnsi="Aptos"/>
          <w:color w:val="1f2933"/>
          <w:sz w:val="20"/>
          <w:szCs w:val="20"/>
          <w:rtl w:val="0"/>
        </w:rPr>
        <w:t xml:space="preserve">This section will describe data intake, unit standardization, outlier removal, depth matching, feature engineering, core-log calibration, and the workflow used to generate the final machine-learning dataset.</w:t>
      </w:r>
      <w:r w:rsidDel="00000000" w:rsidR="00000000" w:rsidRPr="00000000">
        <w:rPr>
          <w:rtl w:val="0"/>
        </w:rPr>
      </w:r>
    </w:p>
    <w:p w:rsidR="00000000" w:rsidDel="00000000" w:rsidP="00000000" w:rsidRDefault="00000000" w:rsidRPr="00000000" w14:paraId="00000037">
      <w:pPr>
        <w:spacing w:after="100" w:line="264" w:lineRule="auto"/>
        <w:rPr/>
      </w:pPr>
      <w:r w:rsidDel="00000000" w:rsidR="00000000" w:rsidRPr="00000000">
        <w:rPr>
          <w:rFonts w:ascii="Aptos" w:cs="Aptos" w:eastAsia="Aptos" w:hAnsi="Aptos"/>
          <w:color w:val="1f2933"/>
          <w:sz w:val="20"/>
          <w:szCs w:val="20"/>
          <w:rtl w:val="0"/>
        </w:rPr>
        <w:t xml:space="preserve">The geomechanical feature set will include dynamic Young's modulus, Poisson's ratio, brittleness, lambda-rho, and mu-rho where density, Vp, and Vs are available. These features help place hydrate interpretation in a rock-physics context because stiffness, rigidity, and incompressibility can help distinguish hydrate-supported responses from gas, lithology, or stress effects.</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Machine-Learning Framework</w:t>
      </w:r>
    </w:p>
    <w:p w:rsidR="00000000" w:rsidDel="00000000" w:rsidP="00000000" w:rsidRDefault="00000000" w:rsidRPr="00000000" w14:paraId="00000039">
      <w:pPr>
        <w:spacing w:after="100" w:line="264" w:lineRule="auto"/>
        <w:rPr/>
      </w:pPr>
      <w:r w:rsidDel="00000000" w:rsidR="00000000" w:rsidRPr="00000000">
        <w:rPr>
          <w:rFonts w:ascii="Aptos" w:cs="Aptos" w:eastAsia="Aptos" w:hAnsi="Aptos"/>
          <w:color w:val="1f2933"/>
          <w:sz w:val="20"/>
          <w:szCs w:val="20"/>
          <w:rtl w:val="0"/>
        </w:rPr>
        <w:t xml:space="preserve">This section will compare classification models for hydrate occurrence, regression models for continuous hydrate saturation, and nonlinear ANN methods informed by Chong et al. (2022), while preserving complete-well validation and target-leakage controls.</w:t>
      </w:r>
      <w:r w:rsidDel="00000000" w:rsidR="00000000" w:rsidRPr="00000000">
        <w:rPr>
          <w:rtl w:val="0"/>
        </w:rPr>
      </w:r>
    </w:p>
    <w:p w:rsidR="00000000" w:rsidDel="00000000" w:rsidP="00000000" w:rsidRDefault="00000000" w:rsidRPr="00000000" w14:paraId="0000003A">
      <w:pPr>
        <w:pStyle w:val="Heading3"/>
        <w:rPr/>
      </w:pPr>
      <w:r w:rsidDel="00000000" w:rsidR="00000000" w:rsidRPr="00000000">
        <w:rPr>
          <w:rtl w:val="0"/>
        </w:rPr>
        <w:t xml:space="preserve">ML architecture sketch</w:t>
      </w:r>
    </w:p>
    <w:tbl>
      <w:tblPr>
        <w:tblStyle w:val="Table5"/>
        <w:tblW w:w="10080.0" w:type="dxa"/>
        <w:jc w:val="left"/>
        <w:tblInd w:w="-108.0" w:type="dxa"/>
        <w:tblBorders>
          <w:top w:color="c5d3d8" w:space="0" w:sz="4" w:val="single"/>
          <w:left w:color="c5d3d8" w:space="0" w:sz="4" w:val="single"/>
          <w:bottom w:color="c5d3d8" w:space="0" w:sz="4" w:val="single"/>
          <w:right w:color="c5d3d8" w:space="0" w:sz="4" w:val="single"/>
          <w:insideH w:color="c5d3d8" w:space="0" w:sz="4" w:val="single"/>
          <w:insideV w:color="c5d3d8" w:space="0" w:sz="4" w:val="single"/>
        </w:tblBorders>
        <w:tblLayout w:type="fixed"/>
        <w:tblLook w:val="0400"/>
      </w:tblPr>
      <w:tblGrid>
        <w:gridCol w:w="1120"/>
        <w:gridCol w:w="1120"/>
        <w:gridCol w:w="1120"/>
        <w:gridCol w:w="1120"/>
        <w:gridCol w:w="1120"/>
        <w:gridCol w:w="1120"/>
        <w:gridCol w:w="1120"/>
        <w:gridCol w:w="1120"/>
        <w:gridCol w:w="1120"/>
        <w:tblGridChange w:id="0">
          <w:tblGrid>
            <w:gridCol w:w="1120"/>
            <w:gridCol w:w="1120"/>
            <w:gridCol w:w="1120"/>
            <w:gridCol w:w="1120"/>
            <w:gridCol w:w="1120"/>
            <w:gridCol w:w="1120"/>
            <w:gridCol w:w="1120"/>
            <w:gridCol w:w="1120"/>
            <w:gridCol w:w="1120"/>
          </w:tblGrid>
        </w:tblGridChange>
      </w:tblGrid>
      <w:tr>
        <w:trPr>
          <w:cantSplit w:val="0"/>
          <w:tblHeader w:val="0"/>
        </w:trPr>
        <w:tc>
          <w:tcPr>
            <w:shd w:fill="eaf5f6" w:val="clear"/>
          </w:tcPr>
          <w:p w:rsidR="00000000" w:rsidDel="00000000" w:rsidP="00000000" w:rsidRDefault="00000000" w:rsidRPr="00000000" w14:paraId="0000003B">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features</w:t>
            </w:r>
            <w:r w:rsidDel="00000000" w:rsidR="00000000" w:rsidRPr="00000000">
              <w:rPr>
                <w:rtl w:val="0"/>
              </w:rPr>
            </w:r>
          </w:p>
        </w:tc>
        <w:tc>
          <w:tcPr>
            <w:shd w:fill="ffffff" w:val="clear"/>
          </w:tcPr>
          <w:p w:rsidR="00000000" w:rsidDel="00000000" w:rsidP="00000000" w:rsidRDefault="00000000" w:rsidRPr="00000000" w14:paraId="0000003C">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3D">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classification</w:t>
            </w:r>
            <w:r w:rsidDel="00000000" w:rsidR="00000000" w:rsidRPr="00000000">
              <w:rPr>
                <w:rtl w:val="0"/>
              </w:rPr>
            </w:r>
          </w:p>
        </w:tc>
        <w:tc>
          <w:tcPr>
            <w:shd w:fill="ffffff" w:val="clear"/>
          </w:tcPr>
          <w:p w:rsidR="00000000" w:rsidDel="00000000" w:rsidP="00000000" w:rsidRDefault="00000000" w:rsidRPr="00000000" w14:paraId="0000003E">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3F">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saturation regression</w:t>
            </w:r>
            <w:r w:rsidDel="00000000" w:rsidR="00000000" w:rsidRPr="00000000">
              <w:rPr>
                <w:rtl w:val="0"/>
              </w:rPr>
            </w:r>
          </w:p>
        </w:tc>
        <w:tc>
          <w:tcPr>
            <w:shd w:fill="ffffff" w:val="clear"/>
          </w:tcPr>
          <w:p w:rsidR="00000000" w:rsidDel="00000000" w:rsidP="00000000" w:rsidRDefault="00000000" w:rsidRPr="00000000" w14:paraId="00000040">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41">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ANN test</w:t>
            </w:r>
            <w:r w:rsidDel="00000000" w:rsidR="00000000" w:rsidRPr="00000000">
              <w:rPr>
                <w:rtl w:val="0"/>
              </w:rPr>
            </w:r>
          </w:p>
        </w:tc>
        <w:tc>
          <w:tcPr>
            <w:shd w:fill="ffffff" w:val="clear"/>
          </w:tcPr>
          <w:p w:rsidR="00000000" w:rsidDel="00000000" w:rsidP="00000000" w:rsidRDefault="00000000" w:rsidRPr="00000000" w14:paraId="00000042">
            <w:pPr>
              <w:spacing w:after="0" w:line="252.00000000000003" w:lineRule="auto"/>
              <w:jc w:val="center"/>
              <w:rPr/>
            </w:pPr>
            <w:r w:rsidDel="00000000" w:rsidR="00000000" w:rsidRPr="00000000">
              <w:rPr>
                <w:rFonts w:ascii="Aptos" w:cs="Aptos" w:eastAsia="Aptos" w:hAnsi="Aptos"/>
                <w:b w:val="1"/>
                <w:bCs w:val="1"/>
                <w:color w:val="167d8d"/>
                <w:sz w:val="19"/>
                <w:szCs w:val="19"/>
                <w:rtl w:val="0"/>
              </w:rPr>
              <w:t xml:space="preserve">-&gt;</w:t>
            </w:r>
            <w:r w:rsidDel="00000000" w:rsidR="00000000" w:rsidRPr="00000000">
              <w:rPr>
                <w:rtl w:val="0"/>
              </w:rPr>
            </w:r>
          </w:p>
        </w:tc>
        <w:tc>
          <w:tcPr>
            <w:shd w:fill="eaf5f6" w:val="clear"/>
          </w:tcPr>
          <w:p w:rsidR="00000000" w:rsidDel="00000000" w:rsidP="00000000" w:rsidRDefault="00000000" w:rsidRPr="00000000" w14:paraId="00000043">
            <w:pPr>
              <w:spacing w:after="0" w:line="252.00000000000003" w:lineRule="auto"/>
              <w:jc w:val="center"/>
              <w:rPr/>
            </w:pPr>
            <w:r w:rsidDel="00000000" w:rsidR="00000000" w:rsidRPr="00000000">
              <w:rPr>
                <w:rFonts w:ascii="Aptos" w:cs="Aptos" w:eastAsia="Aptos" w:hAnsi="Aptos"/>
                <w:b w:val="1"/>
                <w:bCs w:val="1"/>
                <w:color w:val="123447"/>
                <w:sz w:val="15"/>
                <w:szCs w:val="15"/>
                <w:rtl w:val="0"/>
              </w:rPr>
              <w:t xml:space="preserve">held-out wells</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Error and Validation</w:t>
      </w:r>
    </w:p>
    <w:p w:rsidR="00000000" w:rsidDel="00000000" w:rsidP="00000000" w:rsidRDefault="00000000" w:rsidRPr="00000000" w14:paraId="00000046">
      <w:pPr>
        <w:spacing w:after="100" w:line="264" w:lineRule="auto"/>
        <w:rPr/>
      </w:pPr>
      <w:r w:rsidDel="00000000" w:rsidR="00000000" w:rsidRPr="00000000">
        <w:rPr>
          <w:rFonts w:ascii="Aptos" w:cs="Aptos" w:eastAsia="Aptos" w:hAnsi="Aptos"/>
          <w:color w:val="1f2933"/>
          <w:sz w:val="20"/>
          <w:szCs w:val="20"/>
          <w:rtl w:val="0"/>
        </w:rPr>
        <w:t xml:space="preserve">This section will report classification precision, recall, F1, confusion matrices, regression MAE, RMSE, R2, calibration by saturation band, outlier behavior, missing-curve performance, and validation against unseen wells.</w:t>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Discussion</w:t>
      </w:r>
    </w:p>
    <w:p w:rsidR="00000000" w:rsidDel="00000000" w:rsidP="00000000" w:rsidRDefault="00000000" w:rsidRPr="00000000" w14:paraId="00000048">
      <w:pPr>
        <w:spacing w:after="100" w:line="264" w:lineRule="auto"/>
        <w:rPr/>
      </w:pPr>
      <w:r w:rsidDel="00000000" w:rsidR="00000000" w:rsidRPr="00000000">
        <w:rPr>
          <w:rFonts w:ascii="Aptos" w:cs="Aptos" w:eastAsia="Aptos" w:hAnsi="Aptos"/>
          <w:color w:val="1f2933"/>
          <w:sz w:val="20"/>
          <w:szCs w:val="20"/>
          <w:rtl w:val="0"/>
        </w:rPr>
        <w:t xml:space="preserve">This section will interpret the predicted hydrate intervals, compare model behavior against geologic expectations, discuss false positives and ambiguous intervals, and explain how reservoir quality and uncertainty affect sweet-spot ranking.</w:t>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Conclusion</w:t>
      </w:r>
    </w:p>
    <w:p w:rsidR="00000000" w:rsidDel="00000000" w:rsidP="00000000" w:rsidRDefault="00000000" w:rsidRPr="00000000" w14:paraId="0000004A">
      <w:pPr>
        <w:spacing w:after="100" w:line="264" w:lineRule="auto"/>
        <w:rPr/>
      </w:pPr>
      <w:r w:rsidDel="00000000" w:rsidR="00000000" w:rsidRPr="00000000">
        <w:rPr>
          <w:rFonts w:ascii="Aptos" w:cs="Aptos" w:eastAsia="Aptos" w:hAnsi="Aptos"/>
          <w:color w:val="1f2933"/>
          <w:sz w:val="20"/>
          <w:szCs w:val="20"/>
          <w:rtl w:val="0"/>
        </w:rPr>
        <w:t xml:space="preserve">This section will summarize what the workflow demonstrates, what the final approved-data results show, and how the project supports North Slope gas hydrate reservoir characterization for future energy-resource evaluation.</w:t>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References</w:t>
      </w:r>
    </w:p>
    <w:p w:rsidR="00000000" w:rsidDel="00000000" w:rsidP="00000000" w:rsidRDefault="00000000" w:rsidRPr="00000000" w14:paraId="0000004C">
      <w:pPr>
        <w:spacing w:after="100" w:line="264" w:lineRule="auto"/>
        <w:rPr/>
      </w:pPr>
      <w:r w:rsidDel="00000000" w:rsidR="00000000" w:rsidRPr="00000000">
        <w:rPr>
          <w:rFonts w:ascii="Aptos" w:cs="Aptos" w:eastAsia="Aptos" w:hAnsi="Aptos"/>
          <w:color w:val="1f2933"/>
          <w:sz w:val="18"/>
          <w:szCs w:val="18"/>
          <w:rtl w:val="0"/>
        </w:rPr>
        <w:t xml:space="preserve">Collett, T.S., Lewis, K.A., Zyrianova, M.V., and others. 2019. Assessment of undiscovered gas hydrate resources in the North Slope of Alaska, 2018. USGS Fact Sheet 2019-3037. DOI: 10.3133/fs20193037. https://pubs.usgs.gov/publication/fs20193037</w:t>
      </w:r>
      <w:r w:rsidDel="00000000" w:rsidR="00000000" w:rsidRPr="00000000">
        <w:rPr>
          <w:rtl w:val="0"/>
        </w:rPr>
      </w:r>
    </w:p>
    <w:p w:rsidR="00000000" w:rsidDel="00000000" w:rsidP="00000000" w:rsidRDefault="00000000" w:rsidRPr="00000000" w14:paraId="0000004D">
      <w:pPr>
        <w:spacing w:after="100" w:line="264" w:lineRule="auto"/>
        <w:rPr/>
      </w:pPr>
      <w:r w:rsidDel="00000000" w:rsidR="00000000" w:rsidRPr="00000000">
        <w:rPr>
          <w:rFonts w:ascii="Aptos" w:cs="Aptos" w:eastAsia="Aptos" w:hAnsi="Aptos"/>
          <w:color w:val="1f2933"/>
          <w:sz w:val="18"/>
          <w:szCs w:val="18"/>
          <w:rtl w:val="0"/>
        </w:rPr>
        <w:t xml:space="preserve">National Energy Technology Laboratory. Alaska North Slope Gas Hydrate Reservoir Characterization. Project summary. https://netl.doe.gov/node/6846</w:t>
      </w:r>
      <w:r w:rsidDel="00000000" w:rsidR="00000000" w:rsidRPr="00000000">
        <w:rPr>
          <w:rtl w:val="0"/>
        </w:rPr>
      </w:r>
    </w:p>
    <w:p w:rsidR="00000000" w:rsidDel="00000000" w:rsidP="00000000" w:rsidRDefault="00000000" w:rsidRPr="00000000" w14:paraId="0000004E">
      <w:pPr>
        <w:spacing w:after="100" w:line="264" w:lineRule="auto"/>
        <w:rPr/>
      </w:pPr>
      <w:r w:rsidDel="00000000" w:rsidR="00000000" w:rsidRPr="00000000">
        <w:rPr>
          <w:rFonts w:ascii="Aptos" w:cs="Aptos" w:eastAsia="Aptos" w:hAnsi="Aptos"/>
          <w:color w:val="1f2933"/>
          <w:sz w:val="18"/>
          <w:szCs w:val="18"/>
          <w:rtl w:val="0"/>
        </w:rPr>
        <w:t xml:space="preserve">U.S. Department of Energy. 2024. DOE and international partners complete gas hydrates production testing on Alaska North Slope. https://www.energy.gov/hgeo/articles/doe-and-international-partners-complete-gas-hydrates-production-testing-alaska-north</w:t>
      </w:r>
      <w:r w:rsidDel="00000000" w:rsidR="00000000" w:rsidRPr="00000000">
        <w:rPr>
          <w:rtl w:val="0"/>
        </w:rPr>
      </w:r>
    </w:p>
    <w:p w:rsidR="00000000" w:rsidDel="00000000" w:rsidP="00000000" w:rsidRDefault="00000000" w:rsidRPr="00000000" w14:paraId="0000004F">
      <w:pPr>
        <w:spacing w:after="100" w:line="264" w:lineRule="auto"/>
        <w:rPr/>
      </w:pPr>
      <w:r w:rsidDel="00000000" w:rsidR="00000000" w:rsidRPr="00000000">
        <w:rPr>
          <w:rFonts w:ascii="Aptos" w:cs="Aptos" w:eastAsia="Aptos" w:hAnsi="Aptos"/>
          <w:color w:val="1f2933"/>
          <w:sz w:val="18"/>
          <w:szCs w:val="18"/>
          <w:rtl w:val="0"/>
        </w:rPr>
        <w:t xml:space="preserve">Chong, L.B., Singh, H., Creason, C.G., and others. 2022. Application of machine learning to characterize gas hydrate reservoirs in Mackenzie Delta (Canada) and on the Alaska North Slope (USA). Computational Geosciences, 26, 991-1006. DOI: 10.1007/s10596-022-10151-9. https://link.springer.com/article/10.1007/s10596-022-10151-9</w:t>
      </w:r>
      <w:r w:rsidDel="00000000" w:rsidR="00000000" w:rsidRPr="00000000">
        <w:rPr>
          <w:rtl w:val="0"/>
        </w:rPr>
      </w:r>
    </w:p>
    <w:p w:rsidR="00000000" w:rsidDel="00000000" w:rsidP="00000000" w:rsidRDefault="00000000" w:rsidRPr="00000000" w14:paraId="00000050">
      <w:pPr>
        <w:spacing w:after="100" w:line="264" w:lineRule="auto"/>
        <w:rPr/>
      </w:pPr>
      <w:r w:rsidDel="00000000" w:rsidR="00000000" w:rsidRPr="00000000">
        <w:rPr>
          <w:rFonts w:ascii="Aptos" w:cs="Aptos" w:eastAsia="Aptos" w:hAnsi="Aptos"/>
          <w:color w:val="1f2933"/>
          <w:sz w:val="18"/>
          <w:szCs w:val="18"/>
          <w:rtl w:val="0"/>
        </w:rPr>
        <w:t xml:space="preserve">Lee, M.W., and Collett, T.S. 2011. In-situ gas hydrate saturation estimated from various well logs at the Mount Elbert Gas Hydrate Stratigraphic Test Well, Alaska North Slope. Marine and Petroleum Geology, 28, 439-449. https://pubs.usgs.gov/publication/70036903</w:t>
      </w:r>
      <w:r w:rsidDel="00000000" w:rsidR="00000000" w:rsidRPr="00000000">
        <w:rPr>
          <w:rtl w:val="0"/>
        </w:rPr>
      </w:r>
    </w:p>
    <w:p w:rsidR="00000000" w:rsidDel="00000000" w:rsidP="00000000" w:rsidRDefault="00000000" w:rsidRPr="00000000" w14:paraId="00000051">
      <w:pPr>
        <w:spacing w:after="100" w:line="264" w:lineRule="auto"/>
        <w:rPr/>
      </w:pPr>
      <w:r w:rsidDel="00000000" w:rsidR="00000000" w:rsidRPr="00000000">
        <w:rPr>
          <w:rFonts w:ascii="Aptos" w:cs="Aptos" w:eastAsia="Aptos" w:hAnsi="Aptos"/>
          <w:color w:val="1f2933"/>
          <w:sz w:val="18"/>
          <w:szCs w:val="18"/>
          <w:rtl w:val="0"/>
        </w:rPr>
        <w:t xml:space="preserve">Haines, S.S., Collett, T.S., Yoneda, J., Shimoda, N., Boswell, R., and Okinaka, N. 2022. Gas hydrate saturation estimates, gas hydrate occurrence, and reservoir characteristics based on well log data from the Hydrate-01 stratigraphic test well, Alaska North Slope. Energy &amp; Fuels, 36, 3040-3050. DOI: 10.1021/acs.energyfuels.1c04100. https://pubs.acs.org/doi/10.1021/acs.energyfuels.1c04100</w:t>
      </w:r>
      <w:r w:rsidDel="00000000" w:rsidR="00000000" w:rsidRPr="00000000">
        <w:rPr>
          <w:rtl w:val="0"/>
        </w:rPr>
      </w:r>
    </w:p>
    <w:p w:rsidR="00000000" w:rsidDel="00000000" w:rsidP="00000000" w:rsidRDefault="00000000" w:rsidRPr="00000000" w14:paraId="00000052">
      <w:pPr>
        <w:spacing w:after="100" w:line="264" w:lineRule="auto"/>
        <w:rPr/>
      </w:pPr>
      <w:r w:rsidDel="00000000" w:rsidR="00000000" w:rsidRPr="00000000">
        <w:rPr>
          <w:rFonts w:ascii="Aptos" w:cs="Aptos" w:eastAsia="Aptos" w:hAnsi="Aptos"/>
          <w:color w:val="1f2933"/>
          <w:sz w:val="18"/>
          <w:szCs w:val="18"/>
          <w:rtl w:val="0"/>
        </w:rPr>
        <w:t xml:space="preserve">Zyrianova, M.V., Collett, T.S., and Boswell, R. 2024. Characterization of structural, stratigraphic, and reservoir controls on gas hydrate occurrence in the Eileen Gas Hydrate Trend, Alaska North Slope. https://www.mdpi.com/2077-1312/12/3/472</w:t>
      </w:r>
      <w:r w:rsidDel="00000000" w:rsidR="00000000" w:rsidRPr="00000000">
        <w:rPr>
          <w:rtl w:val="0"/>
        </w:rPr>
      </w:r>
    </w:p>
    <w:sectPr>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123447"/>
      <w:sz w:val="30"/>
      <w:szCs w:val="30"/>
    </w:rPr>
  </w:style>
  <w:style w:type="paragraph" w:styleId="Heading2">
    <w:name w:val="heading 2"/>
    <w:basedOn w:val="Normal"/>
    <w:next w:val="Normal"/>
    <w:pPr>
      <w:keepNext w:val="1"/>
      <w:keepLines w:val="1"/>
      <w:spacing w:after="80" w:before="200" w:lineRule="auto"/>
    </w:pPr>
    <w:rPr>
      <w:rFonts w:ascii="Play" w:cs="Play" w:eastAsia="Play" w:hAnsi="Play"/>
      <w:b w:val="1"/>
      <w:bCs w:val="1"/>
      <w:color w:val="167d8d"/>
      <w:sz w:val="25"/>
      <w:szCs w:val="25"/>
    </w:rPr>
  </w:style>
  <w:style w:type="paragraph" w:styleId="Heading3">
    <w:name w:val="heading 3"/>
    <w:basedOn w:val="Normal"/>
    <w:next w:val="Normal"/>
    <w:pPr>
      <w:keepNext w:val="1"/>
      <w:keepLines w:val="1"/>
      <w:spacing w:after="80" w:before="200" w:lineRule="auto"/>
    </w:pPr>
    <w:rPr>
      <w:rFonts w:ascii="Play" w:cs="Play" w:eastAsia="Play" w:hAnsi="Play"/>
      <w:b w:val="1"/>
      <w:bCs w:val="1"/>
      <w:color w:val="12344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