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 Slope Gas Hydrate Full ML Workflow Diagram</w:t>
      </w:r>
    </w:p>
    <w:p>
      <w:r>
        <w:t>This companion page explains the V5 diagram package requested for the slide refresh. The package connects source and schema controls, OpenScienceLab and approved-runtime inputs, the guarded pressure-temperature stability branch, well-log physics equations, the leakage barrier, occurrence classification, saturation regression, validation, and reviewed exports.</w:t>
      </w:r>
    </w:p>
    <w:p>
      <w:pPr>
        <w:pStyle w:val="Heading1"/>
      </w:pPr>
      <w:r>
        <w:t>Project Status In Plain Language</w:t>
      </w:r>
    </w:p>
    <w:p>
      <w:r>
        <w:t>The project is building a defensible North Slope workflow for gas hydrate occurrence classification and saturation regression. The public GitHub/Streamlit side explains source-backed methods, public scaffold counts, diagrams, and public-safe outputs. OpenScienceLab and the later approved runtime are where raw source bundles, approved well logs, core/NMR information, target labels, feature engineering, model fitting, validation, and reviewed outputs belong.</w:t>
      </w:r>
    </w:p>
    <w:p>
      <w:r>
        <w:t>The public scaffold currently has 8,084 wells, 43 GGD223 permafrost controls, 184 G10015 profiles, 3 hydrate AUs, 483 temperature-profile matches, and about 3 / 71 approved datasets visible for schema design only.</w:t>
      </w:r>
    </w:p>
    <w:p>
      <w:pPr>
        <w:pStyle w:val="Heading1"/>
      </w:pPr>
      <w:r>
        <w:t>Three Visual Levels</w:t>
      </w:r>
    </w:p>
    <w:p>
      <w:pPr>
        <w:pStyle w:val="ListBullet"/>
      </w:pPr>
      <w:r>
        <w:t>Slide 3 is the readable mentor-scale overview for a live presentation.</w:t>
      </w:r>
    </w:p>
    <w:p>
      <w:pPr>
        <w:pStyle w:val="ListBullet"/>
      </w:pPr>
      <w:r>
        <w:t>The expanded poster is the detailed architecture map with sources, equations, gates, features, targets, validation, outputs, and caveats.</w:t>
      </w:r>
    </w:p>
    <w:p>
      <w:pPr>
        <w:pStyle w:val="ListBullet"/>
      </w:pPr>
      <w:r>
        <w:t>The ML runtime detail focuses on X allowed, the Y-only label rail, split/preprocess/model controls, output heads, and validation.</w:t>
      </w:r>
    </w:p>
    <w:p>
      <w:pPr>
        <w:pStyle w:val="Heading1"/>
      </w:pPr>
      <w:r>
        <w:t>What Is Complete Outside Stability</w:t>
      </w:r>
    </w:p>
    <w:p>
      <w:pPr>
        <w:pStyle w:val="ListBullet"/>
      </w:pPr>
      <w:r>
        <w:t>The public/runtime data boundary is documented and reflected in the V5 workflow diagrams.</w:t>
      </w:r>
    </w:p>
    <w:p>
      <w:pPr>
        <w:pStyle w:val="ListBullet"/>
      </w:pPr>
      <w:r>
        <w:t>The approved-data schema coverage matrix preserves original headers and separates measured inputs, derived features, QC/alignment fields, calibration/reference fields, target-only fields, and unresolved fields.</w:t>
      </w:r>
    </w:p>
    <w:p>
      <w:pPr>
        <w:pStyle w:val="ListBullet"/>
      </w:pPr>
      <w:r>
        <w:t>The target registry and leakage guardrails keep Sgh, S_h, Sh, NMR_SAT, hydrate-saturation fields, Swr, S_wr, and phase labels out of the predictor matrix.</w:t>
      </w:r>
    </w:p>
    <w:p>
      <w:pPr>
        <w:pStyle w:val="ListBullet"/>
      </w:pPr>
      <w:r>
        <w:t>The Analyze Hydrates page includes Schema Coverage &amp; Architecture, Public ML Readiness, and Target Registry &amp; Leakage views without exposing approved rows or model metrics.</w:t>
      </w:r>
    </w:p>
    <w:p>
      <w:pPr>
        <w:pStyle w:val="ListBullet"/>
      </w:pPr>
      <w:r>
        <w:t>The future ML architecture is defined as a leakage-safe path to linked occurrence classification and saturation regression, but final training and performance reporting remain blocked until approved labels and complete rows are available.</w:t>
      </w:r>
    </w:p>
    <w:p>
      <w:pPr>
        <w:pStyle w:val="Heading1"/>
      </w:pPr>
      <w:r>
        <w:t>What Stability Currently Does</w:t>
      </w:r>
    </w:p>
    <w:p>
      <w:r>
        <w:t>The baseline public stability screen has 8,084 rows, 22 calculated pressure-temperature admissibility intervals, 8 sufficient-input no-stable-interval rows, and 8,054 blocked rows. It uses the cited methane 5 ppt phase lookup, hydrostatic absolute pressure, public G10015/GGD223 temperature and permafrost context, and source-control caveats.</w:t>
      </w:r>
    </w:p>
    <w:p>
      <w:pPr>
        <w:pStyle w:val="ListBullet"/>
      </w:pPr>
      <w:r>
        <w:t>It can serve the ML workflow as context, a mask, a confidence field, a caveat field, or a reason flag.</w:t>
      </w:r>
    </w:p>
    <w:p>
      <w:pPr>
        <w:pStyle w:val="ListBullet"/>
      </w:pPr>
      <w:r>
        <w:t>It does not prove hydrate occurrence, estimate saturation, define final top/base/thickness for approved interpretation, rank sweet spots, or replace log/core evidence.</w:t>
      </w:r>
    </w:p>
    <w:p>
      <w:pPr>
        <w:pStyle w:val="ListBullet"/>
      </w:pPr>
      <w:r>
        <w:t>Blocked rows mean the calculation refused to overclaim without required inputs; they do not mean no hydrate.</w:t>
      </w:r>
    </w:p>
    <w:p>
      <w:pPr>
        <w:pStyle w:val="Heading1"/>
      </w:pPr>
      <w:r>
        <w:t>How Approved OSL Data Feed The Future ML Pipeline</w:t>
      </w:r>
    </w:p>
    <w:p>
      <w:pPr>
        <w:pStyle w:val="ListNumber"/>
      </w:pPr>
      <w:r>
        <w:t>Approved LAS/CSV/core/NMR and workbook inputs are loaded only inside OSL or the approved runtime.</w:t>
      </w:r>
    </w:p>
    <w:p>
      <w:pPr>
        <w:pStyle w:val="ListNumber"/>
      </w:pPr>
      <w:r>
        <w:t>Original headers, units, sheet/source identity, and depth references are preserved before alias mapping.</w:t>
      </w:r>
    </w:p>
    <w:p>
      <w:pPr>
        <w:pStyle w:val="ListNumber"/>
      </w:pPr>
      <w:r>
        <w:t>Measured log families and approved derived physics equations build X allowed after unit checks, QC, and depth alignment.</w:t>
      </w:r>
    </w:p>
    <w:p>
      <w:pPr>
        <w:pStyle w:val="ListNumber"/>
      </w:pPr>
      <w:r>
        <w:t>Target-only occurrence and saturation fields bypass X allowed and are used only for target mapping, calibration, and validation overlays.</w:t>
      </w:r>
    </w:p>
    <w:p>
      <w:pPr>
        <w:pStyle w:val="ListNumber"/>
      </w:pPr>
      <w:r>
        <w:t>Occurrence evidence can come from core or pressure-core observations, NMR/core-derived saturation, validated log interpretation, or regional seismic indicators, but it remains target/validation evidence.</w:t>
      </w:r>
    </w:p>
    <w:p>
      <w:pPr>
        <w:pStyle w:val="ListNumber"/>
      </w:pPr>
      <w:r>
        <w:t>Validation uses complete wells, compartments, or geographic holdouts selected before preprocessing, tuning, or model fitting.</w:t>
      </w:r>
    </w:p>
    <w:p>
      <w:pPr>
        <w:pStyle w:val="ListNumber"/>
      </w:pPr>
      <w:r>
        <w:t>Reviewed outputs become occurrence probability, saturation estimate, uncertainty/QC/reason flags, plots, tables, GIS links, and public-safe summaries only after boundary review.</w:t>
      </w:r>
    </w:p>
    <w:p>
      <w:pPr>
        <w:pStyle w:val="Heading1"/>
      </w:pPr>
      <w:r>
        <w:t>Slide 3 Mentor Overview</w:t>
      </w:r>
    </w:p>
    <w:p>
      <w:r>
        <w:t>This version stays presentation-readable and leaves detailed evidence to the poster and later slides.</w:t>
      </w:r>
    </w:p>
    <w:p>
      <w:r>
        <w:drawing>
          <wp:inline xmlns:a="http://schemas.openxmlformats.org/drawingml/2006/main" xmlns:pic="http://schemas.openxmlformats.org/drawingml/2006/picture">
            <wp:extent cx="9052560" cy="5092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project_ml_workflow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09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Expanded Poster Detail</w:t>
      </w:r>
    </w:p>
    <w:p>
      <w:r>
        <w:t>This poster is the complete architecture reference. It includes the public source counts, approved OSL inputs later, stability equations, target-only labels, leakage controls, validation expectations, public-safe outputs, and mentor decision points.</w:t>
      </w:r>
    </w:p>
    <w:p>
      <w:r>
        <w:drawing>
          <wp:inline xmlns:a="http://schemas.openxmlformats.org/drawingml/2006/main" xmlns:pic="http://schemas.openxmlformats.org/drawingml/2006/picture">
            <wp:extent cx="9052560" cy="5222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project_ml_workflow_flowchart_expan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222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ML Architecture Detail</w:t>
      </w:r>
    </w:p>
    <w:p>
      <w:r>
        <w:t>The companion architecture visual expands the modeling block into feature groups, QC, the X allowed matrix, whole-well split controls, train-only preprocessing, a simplified candidate model, two output heads, and the target-only rail used for training labels and validation overlays.</w:t>
      </w:r>
    </w:p>
    <w:p>
      <w:r>
        <w:drawing>
          <wp:inline xmlns:a="http://schemas.openxmlformats.org/drawingml/2006/main" xmlns:pic="http://schemas.openxmlformats.org/drawingml/2006/picture">
            <wp:extent cx="9052560" cy="52226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pipeline_network_detail_v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222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How To Read The Diagram</w:t>
      </w:r>
    </w:p>
    <w:p>
      <w:pPr>
        <w:pStyle w:val="ListBullet"/>
      </w:pPr>
      <w:r>
        <w:t>The slide-sized summary separates source/schema controls, stability context, feature engineering, leakage-safe ML, and reviewed outputs.</w:t>
      </w:r>
    </w:p>
    <w:p>
      <w:pPr>
        <w:pStyle w:val="ListBullet"/>
      </w:pPr>
      <w:r>
        <w:t>The expanded poster shows the full OSL and approved-runtime path: raw source rebuilds, approved logs/core/NMR later, pressure-temperature stability context, feature engineering, modeling, and validation.</w:t>
      </w:r>
    </w:p>
    <w:p>
      <w:pPr>
        <w:pStyle w:val="ListBullet"/>
      </w:pPr>
      <w:r>
        <w:t>The equation blocks show how pressure, temperature, phase-boundary lookup, lithology, porosity, velocity, elastic, and saturation-baseline calculations become context fields, features, or validation checks.</w:t>
      </w:r>
    </w:p>
    <w:p>
      <w:pPr>
        <w:pStyle w:val="ListBullet"/>
      </w:pPr>
      <w:r>
        <w:t>The stability branch feeds context, masks, confidence labels, and caveats into the ML workflow. It does not become hydrate proof or a saturation label.</w:t>
      </w:r>
    </w:p>
    <w:p>
      <w:pPr>
        <w:pStyle w:val="ListBullet"/>
      </w:pPr>
      <w:r>
        <w:t>The leakage barrier keeps S_h, Sgh, NMR_SAT, phase labels, and final ranks out of predictor features unless a field is proven to be an independent measured input.</w:t>
      </w:r>
    </w:p>
    <w:p>
      <w:pPr>
        <w:pStyle w:val="ListBullet"/>
      </w:pPr>
      <w:r>
        <w:t>The final ML design keeps occurrence classification and saturation regression linked but separate.</w:t>
      </w:r>
    </w:p>
    <w:p>
      <w:pPr>
        <w:pStyle w:val="Heading1"/>
      </w:pPr>
      <w:r>
        <w:t>Current Status Shown In The Figure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Complete</w:t>
            </w:r>
          </w:p>
        </w:tc>
        <w:tc>
          <w:tcPr>
            <w:tcW w:type="dxa" w:w="4752"/>
          </w:tcPr>
          <w:p>
            <w:r>
              <w:rPr>
                <w:b/>
              </w:rPr>
              <w:t>Calculated</w:t>
            </w:r>
          </w:p>
        </w:tc>
        <w:tc>
          <w:tcPr>
            <w:tcW w:type="dxa" w:w="4752"/>
          </w:tcPr>
          <w:p>
            <w:r>
              <w:rPr>
                <w:b/>
              </w:rPr>
              <w:t>Blocked / Future</w:t>
            </w:r>
          </w:p>
        </w:tc>
      </w:tr>
      <w:tr>
        <w:tc>
          <w:tcPr>
            <w:tcW w:type="dxa" w:w="4752"/>
          </w:tcPr>
          <w:p>
            <w:r>
              <w:t>Public/OSL boundary; phase curve; pressure model; temperature-model logic; 8,084 public wells; 43 controls; 184 profiles; guarded writer.</w:t>
            </w:r>
          </w:p>
        </w:tc>
        <w:tc>
          <w:tcPr>
            <w:tcW w:type="dxa" w:w="4752"/>
          </w:tcPr>
          <w:p>
            <w:r>
              <w:t>919 temperature key depths, 387 extrapolated key depths, and 22 baseline stability-admissibility intervals.</w:t>
            </w:r>
          </w:p>
        </w:tc>
        <w:tc>
          <w:tcPr>
            <w:tcW w:type="dxa" w:w="4752"/>
          </w:tcPr>
          <w:p>
            <w:r>
              <w:t>15,249 temperature key-depth rows, 8,054 screen rows, approved logs/core/NMR, trained ML metrics, saturation outputs, hydrate proof, and sweet-spot ranking.</w:t>
            </w:r>
          </w:p>
        </w:tc>
      </w:tr>
    </w:tbl>
    <w:p>
      <w:pPr>
        <w:pStyle w:val="Heading1"/>
      </w:pPr>
      <w:r>
        <w:t>Required Guardrail Language</w:t>
      </w:r>
    </w:p>
    <w:p>
      <w:r>
        <w:t>This is a workflow and admissibility-screen diagram. It does not claim final hydrate stability, hydrate proof, hydrate saturation, validated ML performance, producibility, or sweet spots.</w:t>
      </w:r>
    </w:p>
    <w:p>
      <w:pPr>
        <w:pStyle w:val="Heading1"/>
      </w:pPr>
      <w:r>
        <w:t>Mentor Decisions Needed</w:t>
      </w:r>
    </w:p>
    <w:p>
      <w:pPr>
        <w:pStyle w:val="ListNumber"/>
      </w:pPr>
      <w:r>
        <w:t>Phase-curve policy: keep methane 5 ppt as the only official baseline, or add a clearly labeled scenario table?</w:t>
      </w:r>
    </w:p>
    <w:p>
      <w:pPr>
        <w:pStyle w:val="ListNumber"/>
      </w:pPr>
      <w:r>
        <w:t>Target authority: which occurrence and saturation labels are official when Sgh, S_h, Sh, NMR_SAT, hydrate saturation, or phase labels differ?</w:t>
      </w:r>
    </w:p>
    <w:p>
      <w:pPr>
        <w:pStyle w:val="ListNumber"/>
      </w:pPr>
      <w:r>
        <w:t>Validation split: should final testing use whole-well holdout, compartment holdout, geographic holdout, or a staged combination?</w:t>
      </w:r>
    </w:p>
    <w:p>
      <w:pPr>
        <w:pStyle w:val="ListNumber"/>
      </w:pPr>
      <w:r>
        <w:t>Temperature handling: when G10015 is missing, should rows stay blocked, use nearest-control proxy tiers, or use explicit scenario-only gradients?</w:t>
      </w:r>
    </w:p>
    <w:p>
      <w:pPr>
        <w:pStyle w:val="ListNumber"/>
      </w:pPr>
      <w:r>
        <w:t>ML use of stability: is the stability screen allowed as context, confidence, reason flag, or mask only, never as an occurrence label?</w:t>
      </w:r>
    </w:p>
    <w:p>
      <w:pPr>
        <w:pStyle w:val="ListNumber"/>
      </w:pPr>
      <w:r>
        <w:t>Public website outputs: which diagrams, counts, schema, caveat views, and readiness views are acceptable before approved model validation?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 Slope Gas Hydrate Full ML Workflow Diagram</dc:title>
  <dc:subject>Diagram-first explanation of the public, OSL, stability, and ML workflow</dc:subject>
  <dc:creator>North Slope Gas Hydrates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