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source and schema controls, OpenScienceLab and approved-runtime inputs, the guarded pressure-temperature stability branch, well-log physics equations, the leakage barrier, occurrence classification, saturation regression, validation, and reviewed exports.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ML Architecture Detail</w:t>
      </w:r>
    </w:p>
    <w:p>
      <w:r>
        <w:t>The companion architecture visual expands the modeling block into feature groups, QC and train-only preprocessing, a neural-network-style candidate path, two output heads, and the target-only rail used for training labels and validation overlays.</w:t>
      </w:r>
    </w:p>
    <w:p>
      <w:r>
        <w:drawing>
          <wp:inline xmlns:a="http://schemas.openxmlformats.org/drawingml/2006/main" xmlns:pic="http://schemas.openxmlformats.org/drawingml/2006/picture">
            <wp:extent cx="9052560" cy="5222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pipeline_network_detail_v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222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left lane is source and schema control: public-source context, current status counts, original headers, unit checks, depth basis, and QC gates.</w:t>
      </w:r>
    </w:p>
    <w:p>
      <w:pPr>
        <w:pStyle w:val="ListBullet"/>
      </w:pPr>
      <w:r>
        <w:t>The center and right lanes are the OSL and approved-runtime path: raw source rebuilds, approved logs/core/NMR later, pressure-temperature stability context, feature engineering, modeling, and validation.</w:t>
      </w:r>
    </w:p>
    <w:p>
      <w:pPr>
        <w:pStyle w:val="ListBullet"/>
      </w:pPr>
      <w:r>
        <w:t>The equation blocks show how pressure, temperature, phase-boundary lookup, lithology, porosity, velocity, elastic, and saturation-baseline calculations become context fields, features, or validation checks.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