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ptos Display" w:hAnsi="Aptos Display"/>
          <w:b/>
          <w:color w:val="1F4E79"/>
          <w:sz w:val="48"/>
        </w:rPr>
        <w:t>ML Project Reference Notes</w:t>
      </w:r>
    </w:p>
    <w:p>
      <w:pPr>
        <w:jc w:val="center"/>
      </w:pPr>
      <w:r>
        <w:rPr>
          <w:i/>
          <w:color w:val="505050"/>
          <w:sz w:val="21"/>
        </w:rPr>
        <w:t>Predictive Modeling, Validation, MLOps Quality Checks, Fairness Monitoring, and CreditScoreV4 Incident Case Study</w:t>
      </w:r>
    </w:p>
    <w:tbl>
      <w:tblPr>
        <w:tblStyle w:val="TableGrid"/>
        <w:tblW w:type="auto" w:w="0"/>
        <w:tblLook w:firstColumn="1" w:firstRow="1" w:lastColumn="0" w:lastRow="0" w:noHBand="0" w:noVBand="1" w:val="04A0"/>
      </w:tblPr>
      <w:tblGrid>
        <w:gridCol w:w="10166"/>
      </w:tblGrid>
      <w:tr>
        <w:tc>
          <w:tcPr>
            <w:tcW w:type="dxa" w:w="10166"/>
            <w:shd w:fill="EAF2F8"/>
          </w:tcPr>
          <w:p>
            <w:r/>
            <w:r>
              <w:rPr>
                <w:b/>
                <w:color w:val="1F4E79"/>
              </w:rPr>
              <w:t xml:space="preserve">Purpose: </w:t>
            </w:r>
            <w:r>
              <w:t>Use this as a reusable reference for ML projects, data science interviews, assignments, dashboards, and production ML incident writeups. It summarizes the concepts discussed and includes polished technical language you can adapt into your own work.</w:t>
            </w:r>
          </w:p>
        </w:tc>
      </w:tr>
    </w:tbl>
    <w:p/>
    <w:p>
      <w:pPr>
        <w:pStyle w:val="Heading1"/>
      </w:pPr>
      <w:r>
        <w:t>Quick Table of Contents</w:t>
      </w:r>
    </w:p>
    <w:p>
      <w:pPr>
        <w:pStyle w:val="ListNumber"/>
      </w:pPr>
      <w:r>
        <w:t>Model selection: linear regression vs. flexible models</w:t>
      </w:r>
    </w:p>
    <w:p>
      <w:pPr>
        <w:pStyle w:val="ListNumber"/>
      </w:pPr>
      <w:r>
        <w:t>Validation schemes: IID data vs. time-based data</w:t>
      </w:r>
    </w:p>
    <w:p>
      <w:pPr>
        <w:pStyle w:val="ListNumber"/>
      </w:pPr>
      <w:r>
        <w:t>Multicollinearity and VIF</w:t>
      </w:r>
    </w:p>
    <w:p>
      <w:pPr>
        <w:pStyle w:val="ListNumber"/>
      </w:pPr>
      <w:r>
        <w:t>Leakage-safe pipelines and rolling features</w:t>
      </w:r>
    </w:p>
    <w:p>
      <w:pPr>
        <w:pStyle w:val="ListNumber"/>
      </w:pPr>
      <w:r>
        <w:t>ETL data quality framework and late-arriving data</w:t>
      </w:r>
    </w:p>
    <w:p>
      <w:pPr>
        <w:pStyle w:val="ListNumber"/>
      </w:pPr>
      <w:r>
        <w:t>EDA outputs and distribution-shift triage</w:t>
      </w:r>
    </w:p>
    <w:p>
      <w:pPr>
        <w:pStyle w:val="ListNumber"/>
      </w:pPr>
      <w:r>
        <w:t>Executive dashboard design for KPI drops</w:t>
      </w:r>
    </w:p>
    <w:p>
      <w:pPr>
        <w:pStyle w:val="ListNumber"/>
      </w:pPr>
      <w:r>
        <w:t>CreditScoreV4 production incident assignment notes and draft responses</w:t>
      </w:r>
    </w:p>
    <w:p>
      <w:pPr>
        <w:pStyle w:val="Heading1"/>
      </w:pPr>
      <w:r>
        <w:t>1. Model Selection: Simple Baselines vs Flexible Models</w:t>
      </w:r>
    </w:p>
    <w:p>
      <w:r>
        <w:t>A reliable modeling workflow starts with a simple baseline, then compares more flexible models only if the data and validation results justify the added complexity.</w:t>
      </w:r>
    </w:p>
    <w:tbl>
      <w:tblPr>
        <w:tblStyle w:val="TableGrid"/>
        <w:tblW w:type="auto" w:w="0"/>
        <w:jc w:val="center"/>
        <w:tblLook w:firstColumn="1" w:firstRow="1" w:lastColumn="0" w:lastRow="0" w:noHBand="0" w:noVBand="1" w:val="04A0"/>
      </w:tblPr>
      <w:tblGrid>
        <w:gridCol w:w="2541"/>
        <w:gridCol w:w="2541"/>
        <w:gridCol w:w="2541"/>
        <w:gridCol w:w="2541"/>
      </w:tblGrid>
      <w:tr>
        <w:tc>
          <w:tcPr>
            <w:tcW w:type="dxa" w:w="1800"/>
            <w:vAlign w:val="center"/>
            <w:shd w:fill="1F4E79"/>
          </w:tcPr>
          <w:p>
            <w:pPr>
              <w:spacing w:after="20"/>
            </w:pPr>
            <w:r/>
            <w:r>
              <w:rPr>
                <w:b/>
                <w:color w:val="FFFFFF"/>
              </w:rPr>
              <w:t>Model</w:t>
            </w:r>
          </w:p>
        </w:tc>
        <w:tc>
          <w:tcPr>
            <w:tcW w:type="dxa" w:w="3456"/>
            <w:vAlign w:val="center"/>
            <w:shd w:fill="1F4E79"/>
          </w:tcPr>
          <w:p>
            <w:pPr>
              <w:spacing w:after="20"/>
            </w:pPr>
            <w:r/>
            <w:r>
              <w:rPr>
                <w:b/>
                <w:color w:val="FFFFFF"/>
              </w:rPr>
              <w:t>When to use</w:t>
            </w:r>
          </w:p>
        </w:tc>
        <w:tc>
          <w:tcPr>
            <w:tcW w:type="dxa" w:w="2448"/>
            <w:vAlign w:val="center"/>
            <w:shd w:fill="1F4E79"/>
          </w:tcPr>
          <w:p>
            <w:pPr>
              <w:spacing w:after="20"/>
            </w:pPr>
            <w:r/>
            <w:r>
              <w:rPr>
                <w:b/>
                <w:color w:val="FFFFFF"/>
              </w:rPr>
              <w:t>Strength</w:t>
            </w:r>
          </w:p>
        </w:tc>
        <w:tc>
          <w:tcPr>
            <w:tcW w:type="dxa" w:w="3024"/>
            <w:vAlign w:val="center"/>
            <w:shd w:fill="1F4E79"/>
          </w:tcPr>
          <w:p>
            <w:pPr>
              <w:spacing w:after="20"/>
            </w:pPr>
            <w:r/>
            <w:r>
              <w:rPr>
                <w:b/>
                <w:color w:val="FFFFFF"/>
              </w:rPr>
              <w:t>Risk / limitation</w:t>
            </w:r>
          </w:p>
        </w:tc>
      </w:tr>
      <w:tr>
        <w:tc>
          <w:tcPr>
            <w:tcW w:type="dxa" w:w="1800"/>
            <w:vAlign w:val="center"/>
            <w:shd w:fill="F3F6FA"/>
          </w:tcPr>
          <w:p>
            <w:pPr>
              <w:spacing w:after="20"/>
            </w:pPr>
            <w:r/>
            <w:r>
              <w:rPr>
                <w:b w:val="0"/>
              </w:rPr>
              <w:t>Linear regression</w:t>
            </w:r>
          </w:p>
        </w:tc>
        <w:tc>
          <w:tcPr>
            <w:tcW w:type="dxa" w:w="3456"/>
            <w:vAlign w:val="center"/>
            <w:shd w:fill="F3F6FA"/>
          </w:tcPr>
          <w:p>
            <w:pPr>
              <w:spacing w:after="20"/>
            </w:pPr>
            <w:r/>
            <w:r>
              <w:rPr>
                <w:b w:val="0"/>
              </w:rPr>
              <w:t>Mostly linear relationship; smaller dataset; interpretability matters; coefficient explanation is important.</w:t>
            </w:r>
          </w:p>
        </w:tc>
        <w:tc>
          <w:tcPr>
            <w:tcW w:type="dxa" w:w="2448"/>
            <w:vAlign w:val="center"/>
            <w:shd w:fill="F3F6FA"/>
          </w:tcPr>
          <w:p>
            <w:pPr>
              <w:spacing w:after="20"/>
            </w:pPr>
            <w:r/>
            <w:r>
              <w:rPr>
                <w:b w:val="0"/>
              </w:rPr>
              <w:t>Fast, transparent, easy to debug, good baseline.</w:t>
            </w:r>
          </w:p>
        </w:tc>
        <w:tc>
          <w:tcPr>
            <w:tcW w:type="dxa" w:w="3024"/>
            <w:vAlign w:val="center"/>
            <w:shd w:fill="F3F6FA"/>
          </w:tcPr>
          <w:p>
            <w:pPr>
              <w:spacing w:after="20"/>
            </w:pPr>
            <w:r/>
            <w:r>
              <w:rPr>
                <w:b w:val="0"/>
              </w:rPr>
              <w:t>Underfits nonlinear patterns and feature interactions.</w:t>
            </w:r>
          </w:p>
        </w:tc>
      </w:tr>
      <w:tr>
        <w:tc>
          <w:tcPr>
            <w:tcW w:type="dxa" w:w="1800"/>
            <w:vAlign w:val="center"/>
          </w:tcPr>
          <w:p>
            <w:pPr>
              <w:spacing w:after="20"/>
            </w:pPr>
            <w:r/>
            <w:r>
              <w:rPr>
                <w:b w:val="0"/>
              </w:rPr>
              <w:t>Gradient boosting</w:t>
            </w:r>
          </w:p>
        </w:tc>
        <w:tc>
          <w:tcPr>
            <w:tcW w:type="dxa" w:w="3456"/>
            <w:vAlign w:val="center"/>
          </w:tcPr>
          <w:p>
            <w:pPr>
              <w:spacing w:after="20"/>
            </w:pPr>
            <w:r/>
            <w:r>
              <w:rPr>
                <w:b w:val="0"/>
              </w:rPr>
              <w:t>Nonlinear patterns, interactions, tabular data, higher predictive accuracy needed.</w:t>
            </w:r>
          </w:p>
        </w:tc>
        <w:tc>
          <w:tcPr>
            <w:tcW w:type="dxa" w:w="2448"/>
            <w:vAlign w:val="center"/>
          </w:tcPr>
          <w:p>
            <w:pPr>
              <w:spacing w:after="20"/>
            </w:pPr>
            <w:r/>
            <w:r>
              <w:rPr>
                <w:b w:val="0"/>
              </w:rPr>
              <w:t>Strong performance on tabular data; handles nonlinearities.</w:t>
            </w:r>
          </w:p>
        </w:tc>
        <w:tc>
          <w:tcPr>
            <w:tcW w:type="dxa" w:w="3024"/>
            <w:vAlign w:val="center"/>
          </w:tcPr>
          <w:p>
            <w:pPr>
              <w:spacing w:after="20"/>
            </w:pPr>
            <w:r/>
            <w:r>
              <w:rPr>
                <w:b w:val="0"/>
              </w:rPr>
              <w:t>Less interpretable; can overfit without tuning and validation.</w:t>
            </w:r>
          </w:p>
        </w:tc>
      </w:tr>
      <w:tr>
        <w:tc>
          <w:tcPr>
            <w:tcW w:type="dxa" w:w="1800"/>
            <w:vAlign w:val="center"/>
            <w:shd w:fill="F3F6FA"/>
          </w:tcPr>
          <w:p>
            <w:pPr>
              <w:spacing w:after="20"/>
            </w:pPr>
            <w:r/>
            <w:r>
              <w:rPr>
                <w:b w:val="0"/>
              </w:rPr>
              <w:t>KNN / nearest neighbor</w:t>
            </w:r>
          </w:p>
        </w:tc>
        <w:tc>
          <w:tcPr>
            <w:tcW w:type="dxa" w:w="3456"/>
            <w:vAlign w:val="center"/>
            <w:shd w:fill="F3F6FA"/>
          </w:tcPr>
          <w:p>
            <w:pPr>
              <w:spacing w:after="20"/>
            </w:pPr>
            <w:r/>
            <w:r>
              <w:rPr>
                <w:b w:val="0"/>
              </w:rPr>
              <w:t>Local similarity matters and features are well-scaled; dataset is not too large or high-dimensional.</w:t>
            </w:r>
          </w:p>
        </w:tc>
        <w:tc>
          <w:tcPr>
            <w:tcW w:type="dxa" w:w="2448"/>
            <w:vAlign w:val="center"/>
            <w:shd w:fill="F3F6FA"/>
          </w:tcPr>
          <w:p>
            <w:pPr>
              <w:spacing w:after="20"/>
            </w:pPr>
            <w:r/>
            <w:r>
              <w:rPr>
                <w:b w:val="0"/>
              </w:rPr>
              <w:t>Simple, intuitive nonparametric method.</w:t>
            </w:r>
          </w:p>
        </w:tc>
        <w:tc>
          <w:tcPr>
            <w:tcW w:type="dxa" w:w="3024"/>
            <w:vAlign w:val="center"/>
            <w:shd w:fill="F3F6FA"/>
          </w:tcPr>
          <w:p>
            <w:pPr>
              <w:spacing w:after="20"/>
            </w:pPr>
            <w:r/>
            <w:r>
              <w:rPr>
                <w:b w:val="0"/>
              </w:rPr>
              <w:t>Sensitive to scale, noise, high dimensionality, and large data.</w:t>
            </w:r>
          </w:p>
        </w:tc>
      </w:tr>
      <w:tr>
        <w:tc>
          <w:tcPr>
            <w:tcW w:type="dxa" w:w="1800"/>
            <w:vAlign w:val="center"/>
          </w:tcPr>
          <w:p>
            <w:pPr>
              <w:spacing w:after="20"/>
            </w:pPr>
            <w:r/>
            <w:r>
              <w:rPr>
                <w:b w:val="0"/>
              </w:rPr>
              <w:t>Neural networks</w:t>
            </w:r>
          </w:p>
        </w:tc>
        <w:tc>
          <w:tcPr>
            <w:tcW w:type="dxa" w:w="3456"/>
            <w:vAlign w:val="center"/>
          </w:tcPr>
          <w:p>
            <w:pPr>
              <w:spacing w:after="20"/>
            </w:pPr>
            <w:r/>
            <w:r>
              <w:rPr>
                <w:b w:val="0"/>
              </w:rPr>
              <w:t>Large data, complex interactions, unstructured inputs, or deep feature learning needed.</w:t>
            </w:r>
          </w:p>
        </w:tc>
        <w:tc>
          <w:tcPr>
            <w:tcW w:type="dxa" w:w="2448"/>
            <w:vAlign w:val="center"/>
          </w:tcPr>
          <w:p>
            <w:pPr>
              <w:spacing w:after="20"/>
            </w:pPr>
            <w:r/>
            <w:r>
              <w:rPr>
                <w:b w:val="0"/>
              </w:rPr>
              <w:t>Highly flexible; strong on images, text, and complex signals.</w:t>
            </w:r>
          </w:p>
        </w:tc>
        <w:tc>
          <w:tcPr>
            <w:tcW w:type="dxa" w:w="3024"/>
            <w:vAlign w:val="center"/>
          </w:tcPr>
          <w:p>
            <w:pPr>
              <w:spacing w:after="20"/>
            </w:pPr>
            <w:r/>
            <w:r>
              <w:rPr>
                <w:b w:val="0"/>
              </w:rPr>
              <w:t>Requires more data, tuning, compute, and interpretability work.</w:t>
            </w:r>
          </w:p>
        </w:tc>
      </w:tr>
    </w:tbl>
    <w:p/>
    <w:tbl>
      <w:tblPr>
        <w:tblStyle w:val="TableGrid"/>
        <w:tblW w:type="auto" w:w="0"/>
        <w:tblLook w:firstColumn="1" w:firstRow="1" w:lastColumn="0" w:lastRow="0" w:noHBand="0" w:noVBand="1" w:val="04A0"/>
      </w:tblPr>
      <w:tblGrid>
        <w:gridCol w:w="10166"/>
      </w:tblGrid>
      <w:tr>
        <w:tc>
          <w:tcPr>
            <w:tcW w:type="dxa" w:w="10166"/>
            <w:shd w:fill="EAF2F8"/>
          </w:tcPr>
          <w:p>
            <w:r/>
            <w:r>
              <w:rPr>
                <w:b/>
                <w:color w:val="1F4E79"/>
              </w:rPr>
              <w:t xml:space="preserve">Strong framing: </w:t>
            </w:r>
            <w:r>
              <w:t>Start with linear regression or another simple baseline. Compare against flexible models using validation or cross-validation. Choose the more complex model only if it improves out-of-sample performance meaningfully and does not overfit. Interpretability and business constraints matter, not just accuracy.</w:t>
            </w:r>
          </w:p>
        </w:tc>
      </w:tr>
    </w:tbl>
    <w:p/>
    <w:p>
      <w:pPr>
        <w:pStyle w:val="Heading1"/>
      </w:pPr>
      <w:r>
        <w:t>2. Validation Schemes: IID Data vs Time-Based Data</w:t>
      </w:r>
    </w:p>
    <w:tbl>
      <w:tblPr>
        <w:tblStyle w:val="TableGrid"/>
        <w:tblW w:type="auto" w:w="0"/>
        <w:jc w:val="center"/>
        <w:tblLook w:firstColumn="1" w:firstRow="1" w:lastColumn="0" w:lastRow="0" w:noHBand="0" w:noVBand="1" w:val="04A0"/>
      </w:tblPr>
      <w:tblGrid>
        <w:gridCol w:w="2541"/>
        <w:gridCol w:w="2541"/>
        <w:gridCol w:w="2541"/>
        <w:gridCol w:w="2541"/>
      </w:tblGrid>
      <w:tr>
        <w:tc>
          <w:tcPr>
            <w:tcW w:type="dxa" w:w="1728"/>
            <w:vAlign w:val="center"/>
            <w:shd w:fill="1F4E79"/>
          </w:tcPr>
          <w:p>
            <w:pPr>
              <w:spacing w:after="20"/>
            </w:pPr>
            <w:r/>
            <w:r>
              <w:rPr>
                <w:b/>
                <w:color w:val="FFFFFF"/>
              </w:rPr>
              <w:t>Data type</w:t>
            </w:r>
          </w:p>
        </w:tc>
        <w:tc>
          <w:tcPr>
            <w:tcW w:type="dxa" w:w="3744"/>
            <w:vAlign w:val="center"/>
            <w:shd w:fill="1F4E79"/>
          </w:tcPr>
          <w:p>
            <w:pPr>
              <w:spacing w:after="20"/>
            </w:pPr>
            <w:r/>
            <w:r>
              <w:rPr>
                <w:b/>
                <w:color w:val="FFFFFF"/>
              </w:rPr>
              <w:t>Split strategy</w:t>
            </w:r>
          </w:p>
        </w:tc>
        <w:tc>
          <w:tcPr>
            <w:tcW w:type="dxa" w:w="2880"/>
            <w:vAlign w:val="center"/>
            <w:shd w:fill="1F4E79"/>
          </w:tcPr>
          <w:p>
            <w:pPr>
              <w:spacing w:after="20"/>
            </w:pPr>
            <w:r/>
            <w:r>
              <w:rPr>
                <w:b/>
                <w:color w:val="FFFFFF"/>
              </w:rPr>
              <w:t>Reason</w:t>
            </w:r>
          </w:p>
        </w:tc>
        <w:tc>
          <w:tcPr>
            <w:tcW w:type="dxa" w:w="2880"/>
            <w:vAlign w:val="center"/>
            <w:shd w:fill="1F4E79"/>
          </w:tcPr>
          <w:p>
            <w:pPr>
              <w:spacing w:after="20"/>
            </w:pPr>
            <w:r/>
            <w:r>
              <w:rPr>
                <w:b/>
                <w:color w:val="FFFFFF"/>
              </w:rPr>
              <w:t>Metric guidance</w:t>
            </w:r>
          </w:p>
        </w:tc>
      </w:tr>
      <w:tr>
        <w:tc>
          <w:tcPr>
            <w:tcW w:type="dxa" w:w="1728"/>
            <w:vAlign w:val="center"/>
            <w:shd w:fill="F3F6FA"/>
          </w:tcPr>
          <w:p>
            <w:pPr>
              <w:spacing w:after="20"/>
            </w:pPr>
            <w:r/>
            <w:r>
              <w:rPr>
                <w:b w:val="0"/>
              </w:rPr>
              <w:t>IID data</w:t>
            </w:r>
          </w:p>
        </w:tc>
        <w:tc>
          <w:tcPr>
            <w:tcW w:type="dxa" w:w="3744"/>
            <w:vAlign w:val="center"/>
            <w:shd w:fill="F3F6FA"/>
          </w:tcPr>
          <w:p>
            <w:pPr>
              <w:spacing w:after="20"/>
            </w:pPr>
            <w:r/>
            <w:r>
              <w:rPr>
                <w:b w:val="0"/>
              </w:rPr>
              <w:t>Random train/validation/test split; stratify if classes are imbalanced; K-fold cross-validation is acceptable.</w:t>
            </w:r>
          </w:p>
        </w:tc>
        <w:tc>
          <w:tcPr>
            <w:tcW w:type="dxa" w:w="2880"/>
            <w:vAlign w:val="center"/>
            <w:shd w:fill="F3F6FA"/>
          </w:tcPr>
          <w:p>
            <w:pPr>
              <w:spacing w:after="20"/>
            </w:pPr>
            <w:r/>
            <w:r>
              <w:rPr>
                <w:b w:val="0"/>
              </w:rPr>
              <w:t>Assumes rows are independent and future rows are not dependent on past rows.</w:t>
            </w:r>
          </w:p>
        </w:tc>
        <w:tc>
          <w:tcPr>
            <w:tcW w:type="dxa" w:w="2880"/>
            <w:vAlign w:val="center"/>
            <w:shd w:fill="F3F6FA"/>
          </w:tcPr>
          <w:p>
            <w:pPr>
              <w:spacing w:after="20"/>
            </w:pPr>
            <w:r/>
            <w:r>
              <w:rPr>
                <w:b w:val="0"/>
              </w:rPr>
              <w:t>Accuracy, ROC-AUC, PR-AUC, F1 for classification; RMSE, MAE, R² for regression.</w:t>
            </w:r>
          </w:p>
        </w:tc>
      </w:tr>
      <w:tr>
        <w:tc>
          <w:tcPr>
            <w:tcW w:type="dxa" w:w="1728"/>
            <w:vAlign w:val="center"/>
          </w:tcPr>
          <w:p>
            <w:pPr>
              <w:spacing w:after="20"/>
            </w:pPr>
            <w:r/>
            <w:r>
              <w:rPr>
                <w:b w:val="0"/>
              </w:rPr>
              <w:t>Time-based data</w:t>
            </w:r>
          </w:p>
        </w:tc>
        <w:tc>
          <w:tcPr>
            <w:tcW w:type="dxa" w:w="3744"/>
            <w:vAlign w:val="center"/>
          </w:tcPr>
          <w:p>
            <w:pPr>
              <w:spacing w:after="20"/>
            </w:pPr>
            <w:r/>
            <w:r>
              <w:rPr>
                <w:b w:val="0"/>
              </w:rPr>
              <w:t>Chronological split; train on earlier periods and validate/test on later periods; use rolling or walk-forward validation.</w:t>
            </w:r>
          </w:p>
        </w:tc>
        <w:tc>
          <w:tcPr>
            <w:tcW w:type="dxa" w:w="2880"/>
            <w:vAlign w:val="center"/>
          </w:tcPr>
          <w:p>
            <w:pPr>
              <w:spacing w:after="20"/>
            </w:pPr>
            <w:r/>
            <w:r>
              <w:rPr>
                <w:b w:val="0"/>
              </w:rPr>
              <w:t>Avoids leaking future information into training and mimics production use.</w:t>
            </w:r>
          </w:p>
        </w:tc>
        <w:tc>
          <w:tcPr>
            <w:tcW w:type="dxa" w:w="2880"/>
            <w:vAlign w:val="center"/>
          </w:tcPr>
          <w:p>
            <w:pPr>
              <w:spacing w:after="20"/>
            </w:pPr>
            <w:r/>
            <w:r>
              <w:rPr>
                <w:b w:val="0"/>
              </w:rPr>
              <w:t>Same task metrics, but evaluated by future window and segment; track stability over time.</w:t>
            </w:r>
          </w:p>
        </w:tc>
      </w:tr>
    </w:tbl>
    <w:p/>
    <w:tbl>
      <w:tblPr>
        <w:tblStyle w:val="TableGrid"/>
        <w:tblW w:type="auto" w:w="0"/>
        <w:tblLook w:firstColumn="1" w:firstRow="1" w:lastColumn="0" w:lastRow="0" w:noHBand="0" w:noVBand="1" w:val="04A0"/>
      </w:tblPr>
      <w:tblGrid>
        <w:gridCol w:w="10166"/>
      </w:tblGrid>
      <w:tr>
        <w:tc>
          <w:tcPr>
            <w:tcW w:type="dxa" w:w="10166"/>
            <w:shd w:fill="EAF2F8"/>
          </w:tcPr>
          <w:p>
            <w:r/>
            <w:r>
              <w:rPr>
                <w:b/>
                <w:color w:val="1F4E79"/>
              </w:rPr>
              <w:t xml:space="preserve">Production rule: </w:t>
            </w:r>
            <w:r>
              <w:t>The validation scheme should mimic how the model will be used in production. For time-based prediction, that means train on the past and evaluate on future data.</w:t>
            </w:r>
          </w:p>
        </w:tc>
      </w:tr>
    </w:tbl>
    <w:p/>
    <w:p>
      <w:pPr>
        <w:pStyle w:val="Heading2"/>
      </w:pPr>
      <w:r>
        <w:t>Metric Selection by Problem Type</w:t>
      </w:r>
    </w:p>
    <w:p>
      <w:pPr>
        <w:pStyle w:val="ListBullet"/>
      </w:pPr>
      <w:r>
        <w:t>Regression: Use RMSE when large errors should be penalized more heavily; use MAE when you want a robust average error; use R² as a secondary explanatory metric.</w:t>
      </w:r>
    </w:p>
    <w:p>
      <w:pPr>
        <w:pStyle w:val="ListBullet"/>
      </w:pPr>
      <w:r>
        <w:t>Balanced classification: Accuracy can be useful if class distribution is balanced and the costs of false positives and false negatives are similar.</w:t>
      </w:r>
    </w:p>
    <w:p>
      <w:pPr>
        <w:pStyle w:val="ListBullet"/>
      </w:pPr>
      <w:r>
        <w:t>Imbalanced classification: Prefer precision, recall, F1, ROC-AUC, or PR-AUC depending on business cost trade-offs.</w:t>
      </w:r>
    </w:p>
    <w:p>
      <w:pPr>
        <w:pStyle w:val="ListBullet"/>
      </w:pPr>
      <w:r>
        <w:t>Risk models: Review calibration, approval/decline rates, bad-rate capture, default rate by score bucket, and segment-level performance.</w:t>
      </w:r>
    </w:p>
    <w:p>
      <w:pPr>
        <w:pStyle w:val="Heading1"/>
      </w:pPr>
      <w:r>
        <w:t>3. Multicollinearity and VIF</w:t>
      </w:r>
    </w:p>
    <w:p>
      <w:r>
        <w:t>Multicollinearity means two or more predictors are strongly related, so the model struggles to separate their individual effects. Prediction can remain strong, but coefficient interpretation becomes unstable.</w:t>
      </w:r>
    </w:p>
    <w:tbl>
      <w:tblPr>
        <w:tblStyle w:val="TableGrid"/>
        <w:tblW w:type="auto" w:w="0"/>
        <w:jc w:val="center"/>
        <w:tblLook w:firstColumn="1" w:firstRow="1" w:lastColumn="0" w:lastRow="0" w:noHBand="0" w:noVBand="1" w:val="04A0"/>
      </w:tblPr>
      <w:tblGrid>
        <w:gridCol w:w="3389"/>
        <w:gridCol w:w="3389"/>
        <w:gridCol w:w="3389"/>
      </w:tblGrid>
      <w:tr>
        <w:tc>
          <w:tcPr>
            <w:tcW w:type="dxa" w:w="2592"/>
            <w:vAlign w:val="center"/>
            <w:shd w:fill="1F4E79"/>
          </w:tcPr>
          <w:p>
            <w:pPr>
              <w:spacing w:after="20"/>
            </w:pPr>
            <w:r/>
            <w:r>
              <w:rPr>
                <w:b/>
                <w:color w:val="FFFFFF"/>
              </w:rPr>
              <w:t>Tool / method</w:t>
            </w:r>
          </w:p>
        </w:tc>
        <w:tc>
          <w:tcPr>
            <w:tcW w:type="dxa" w:w="4320"/>
            <w:vAlign w:val="center"/>
            <w:shd w:fill="1F4E79"/>
          </w:tcPr>
          <w:p>
            <w:pPr>
              <w:spacing w:after="20"/>
            </w:pPr>
            <w:r/>
            <w:r>
              <w:rPr>
                <w:b/>
                <w:color w:val="FFFFFF"/>
              </w:rPr>
              <w:t>Use</w:t>
            </w:r>
          </w:p>
        </w:tc>
        <w:tc>
          <w:tcPr>
            <w:tcW w:type="dxa" w:w="3600"/>
            <w:vAlign w:val="center"/>
            <w:shd w:fill="1F4E79"/>
          </w:tcPr>
          <w:p>
            <w:pPr>
              <w:spacing w:after="20"/>
            </w:pPr>
            <w:r/>
            <w:r>
              <w:rPr>
                <w:b/>
                <w:color w:val="FFFFFF"/>
              </w:rPr>
              <w:t>Interpretation</w:t>
            </w:r>
          </w:p>
        </w:tc>
      </w:tr>
      <w:tr>
        <w:tc>
          <w:tcPr>
            <w:tcW w:type="dxa" w:w="2592"/>
            <w:vAlign w:val="center"/>
            <w:shd w:fill="F3F6FA"/>
          </w:tcPr>
          <w:p>
            <w:pPr>
              <w:spacing w:after="20"/>
            </w:pPr>
            <w:r/>
            <w:r>
              <w:rPr>
                <w:b w:val="0"/>
              </w:rPr>
              <w:t>Correlation matrix</w:t>
            </w:r>
          </w:p>
        </w:tc>
        <w:tc>
          <w:tcPr>
            <w:tcW w:type="dxa" w:w="4320"/>
            <w:vAlign w:val="center"/>
            <w:shd w:fill="F3F6FA"/>
          </w:tcPr>
          <w:p>
            <w:pPr>
              <w:spacing w:after="20"/>
            </w:pPr>
            <w:r/>
            <w:r>
              <w:rPr>
                <w:b w:val="0"/>
              </w:rPr>
              <w:t>First-pass check for highly correlated features.</w:t>
            </w:r>
          </w:p>
        </w:tc>
        <w:tc>
          <w:tcPr>
            <w:tcW w:type="dxa" w:w="3600"/>
            <w:vAlign w:val="center"/>
            <w:shd w:fill="F3F6FA"/>
          </w:tcPr>
          <w:p>
            <w:pPr>
              <w:spacing w:after="20"/>
            </w:pPr>
            <w:r/>
            <w:r>
              <w:rPr>
                <w:b w:val="0"/>
              </w:rPr>
              <w:t>Does not capture multivariate relationships.</w:t>
            </w:r>
          </w:p>
        </w:tc>
      </w:tr>
      <w:tr>
        <w:tc>
          <w:tcPr>
            <w:tcW w:type="dxa" w:w="2592"/>
            <w:vAlign w:val="center"/>
          </w:tcPr>
          <w:p>
            <w:pPr>
              <w:spacing w:after="20"/>
            </w:pPr>
            <w:r/>
            <w:r>
              <w:rPr>
                <w:b w:val="0"/>
              </w:rPr>
              <w:t>Variance Inflation Factor (VIF)</w:t>
            </w:r>
          </w:p>
        </w:tc>
        <w:tc>
          <w:tcPr>
            <w:tcW w:type="dxa" w:w="4320"/>
            <w:vAlign w:val="center"/>
          </w:tcPr>
          <w:p>
            <w:pPr>
              <w:spacing w:after="20"/>
            </w:pPr>
            <w:r/>
            <w:r>
              <w:rPr>
                <w:b w:val="0"/>
              </w:rPr>
              <w:t>Measures how much each feature is explained by all other features.</w:t>
            </w:r>
          </w:p>
        </w:tc>
        <w:tc>
          <w:tcPr>
            <w:tcW w:type="dxa" w:w="3600"/>
            <w:vAlign w:val="center"/>
          </w:tcPr>
          <w:p>
            <w:pPr>
              <w:spacing w:after="20"/>
            </w:pPr>
            <w:r/>
            <w:r>
              <w:rPr>
                <w:b w:val="0"/>
              </w:rPr>
              <w:t>High VIF suggests unstable coefficients and unreliable p-values.</w:t>
            </w:r>
          </w:p>
        </w:tc>
      </w:tr>
      <w:tr>
        <w:tc>
          <w:tcPr>
            <w:tcW w:type="dxa" w:w="2592"/>
            <w:vAlign w:val="center"/>
            <w:shd w:fill="F3F6FA"/>
          </w:tcPr>
          <w:p>
            <w:pPr>
              <w:spacing w:after="20"/>
            </w:pPr>
            <w:r/>
            <w:r>
              <w:rPr>
                <w:b w:val="0"/>
              </w:rPr>
              <w:t>Ridge regression</w:t>
            </w:r>
          </w:p>
        </w:tc>
        <w:tc>
          <w:tcPr>
            <w:tcW w:type="dxa" w:w="4320"/>
            <w:vAlign w:val="center"/>
            <w:shd w:fill="F3F6FA"/>
          </w:tcPr>
          <w:p>
            <w:pPr>
              <w:spacing w:after="20"/>
            </w:pPr>
            <w:r/>
            <w:r>
              <w:rPr>
                <w:b w:val="0"/>
              </w:rPr>
              <w:t>Regularization option that keeps correlated features but shrinks coefficients.</w:t>
            </w:r>
          </w:p>
        </w:tc>
        <w:tc>
          <w:tcPr>
            <w:tcW w:type="dxa" w:w="3600"/>
            <w:vAlign w:val="center"/>
            <w:shd w:fill="F3F6FA"/>
          </w:tcPr>
          <w:p>
            <w:pPr>
              <w:spacing w:after="20"/>
            </w:pPr>
            <w:r/>
            <w:r>
              <w:rPr>
                <w:b w:val="0"/>
              </w:rPr>
              <w:t>Good when prediction matters and correlated features still contain signal.</w:t>
            </w:r>
          </w:p>
        </w:tc>
      </w:tr>
      <w:tr>
        <w:tc>
          <w:tcPr>
            <w:tcW w:type="dxa" w:w="2592"/>
            <w:vAlign w:val="center"/>
          </w:tcPr>
          <w:p>
            <w:pPr>
              <w:spacing w:after="20"/>
            </w:pPr>
            <w:r/>
            <w:r>
              <w:rPr>
                <w:b w:val="0"/>
              </w:rPr>
              <w:t>Lasso regression</w:t>
            </w:r>
          </w:p>
        </w:tc>
        <w:tc>
          <w:tcPr>
            <w:tcW w:type="dxa" w:w="4320"/>
            <w:vAlign w:val="center"/>
          </w:tcPr>
          <w:p>
            <w:pPr>
              <w:spacing w:after="20"/>
            </w:pPr>
            <w:r/>
            <w:r>
              <w:rPr>
                <w:b w:val="0"/>
              </w:rPr>
              <w:t>Can remove features automatically.</w:t>
            </w:r>
          </w:p>
        </w:tc>
        <w:tc>
          <w:tcPr>
            <w:tcW w:type="dxa" w:w="3600"/>
            <w:vAlign w:val="center"/>
          </w:tcPr>
          <w:p>
            <w:pPr>
              <w:spacing w:after="20"/>
            </w:pPr>
            <w:r/>
            <w:r>
              <w:rPr>
                <w:b w:val="0"/>
              </w:rPr>
              <w:t>With correlated features, it may arbitrarily keep one and drop another.</w:t>
            </w:r>
          </w:p>
        </w:tc>
      </w:tr>
    </w:tbl>
    <w:p/>
    <w:tbl>
      <w:tblPr>
        <w:tblStyle w:val="TableGrid"/>
        <w:tblW w:type="auto" w:w="0"/>
        <w:tblLook w:firstColumn="1" w:firstRow="1" w:lastColumn="0" w:lastRow="0" w:noHBand="0" w:noVBand="1" w:val="04A0"/>
      </w:tblPr>
      <w:tblGrid>
        <w:gridCol w:w="10166"/>
      </w:tblGrid>
      <w:tr>
        <w:tc>
          <w:tcPr>
            <w:tcW w:type="dxa" w:w="10166"/>
            <w:shd w:fill="EAF2F8"/>
          </w:tcPr>
          <w:p>
            <w:r/>
            <w:r>
              <w:rPr>
                <w:b/>
                <w:color w:val="1F4E79"/>
              </w:rPr>
              <w:t xml:space="preserve">VIF thresholds: </w:t>
            </w:r>
            <w:r>
              <w:t>VIF &gt; 5 is often concerning; VIF &gt; 10 is usually strong multicollinearity. For prediction, higher VIF may be tolerable if validation performance is strong. For interpretation, even moderate VIF can be a problem.</w:t>
            </w:r>
          </w:p>
        </w:tc>
      </w:tr>
    </w:tbl>
    <w:p/>
    <w:p>
      <w:pPr>
        <w:pStyle w:val="CodeBlock"/>
        <w:shd w:fill="EEF2F7"/>
      </w:pPr>
      <w:r>
        <w:t>import pandas as pd</w:t>
        <w:br/>
        <w:t>import statsmodels.api as sm</w:t>
        <w:br/>
        <w:t>from statsmodels.stats.outliers_influence import variance_inflation_factor</w:t>
        <w:br/>
        <w:br/>
        <w:t>X = df[predictor_cols].copy()</w:t>
        <w:br/>
        <w:t>X = sm.add_constant(X)  # include intercept for VIF calculation</w:t>
        <w:br/>
        <w:br/>
        <w:t>vif = pd.DataFrame({</w:t>
        <w:br/>
        <w:t xml:space="preserve">    "feature": X.columns,</w:t>
        <w:br/>
        <w:t xml:space="preserve">    "VIF": [variance_inflation_factor(X.values, i) for i in range(X.shape[1])]</w:t>
        <w:br/>
        <w:t>})</w:t>
        <w:br/>
        <w:br/>
        <w:t># Usually ignore/drop the intercept when interpreting VIF</w:t>
        <w:br/>
        <w:t>vif = vif[vif["feature"] != "const"].sort_values("VIF", ascending=False)</w:t>
        <w:br/>
        <w:t>print(vif)</w:t>
      </w:r>
    </w:p>
    <w:p>
      <w:pPr>
        <w:pStyle w:val="Heading1"/>
      </w:pPr>
      <w:r>
        <w:t>4. Leakage-Safe Pipelines and Rolling Features</w:t>
      </w:r>
    </w:p>
    <w:p>
      <w:r>
        <w:t>For time-based datasets, preprocessing must be fit only on the training period, then applied to the validation period. Learned transforms belong inside a Pipeline or ColumnTransformer.</w:t>
      </w:r>
    </w:p>
    <w:p>
      <w:pPr>
        <w:pStyle w:val="ListBullet"/>
      </w:pPr>
      <w:r>
        <w:t>Do not scale, impute, encode, perform feature selection, or run PCA on the full dataset before splitting.</w:t>
      </w:r>
    </w:p>
    <w:p>
      <w:pPr>
        <w:pStyle w:val="ListBullet"/>
      </w:pPr>
      <w:r>
        <w:t>Use chronological splits or TimeSeriesSplit instead of random K-fold for time-based data.</w:t>
      </w:r>
    </w:p>
    <w:p>
      <w:pPr>
        <w:pStyle w:val="ListBullet"/>
      </w:pPr>
      <w:r>
        <w:t>Feature engineering must use only information available at prediction time.</w:t>
      </w:r>
    </w:p>
    <w:p>
      <w:pPr>
        <w:pStyle w:val="ListBullet"/>
      </w:pPr>
      <w:r>
        <w:t>Keep the most recent period as an untouched final test set after model selection.</w:t>
      </w:r>
    </w:p>
    <w:p>
      <w:pPr>
        <w:pStyle w:val="CodeBlock"/>
        <w:shd w:fill="EEF2F7"/>
      </w:pPr>
      <w:r>
        <w:t>from sklearn.compose import ColumnTransformer</w:t>
        <w:br/>
        <w:t>from sklearn.pipeline import Pipeline</w:t>
        <w:br/>
        <w:t>from sklearn.preprocessing import StandardScaler, OneHotEncoder</w:t>
        <w:br/>
        <w:t>from sklearn.impute import SimpleImputer</w:t>
        <w:br/>
        <w:t>from sklearn.model_selection import TimeSeriesSplit, cross_val_score</w:t>
        <w:br/>
        <w:t>from sklearn.ensemble import GradientBoostingClassifier</w:t>
        <w:br/>
        <w:br/>
        <w:t>numeric_pipe = Pipeline([</w:t>
        <w:br/>
        <w:t xml:space="preserve">    ("imputer", SimpleImputer(strategy="median")),</w:t>
        <w:br/>
        <w:t xml:space="preserve">    ("scaler", StandardScaler())</w:t>
        <w:br/>
        <w:t>])</w:t>
        <w:br/>
        <w:br/>
        <w:t>categorical_pipe = Pipeline([</w:t>
        <w:br/>
        <w:t xml:space="preserve">    ("imputer", SimpleImputer(strategy="most_frequent")),</w:t>
        <w:br/>
        <w:t xml:space="preserve">    ("encoder", OneHotEncoder(handle_unknown="ignore"))</w:t>
        <w:br/>
        <w:t>])</w:t>
        <w:br/>
        <w:br/>
        <w:t>preprocess = ColumnTransformer([</w:t>
        <w:br/>
        <w:t xml:space="preserve">    ("num", numeric_pipe, numeric_cols),</w:t>
        <w:br/>
        <w:t xml:space="preserve">    ("cat", categorical_pipe, categorical_cols)</w:t>
        <w:br/>
        <w:t>])</w:t>
        <w:br/>
        <w:br/>
        <w:t>model = Pipeline([</w:t>
        <w:br/>
        <w:t xml:space="preserve">    ("preprocess", preprocess),</w:t>
        <w:br/>
        <w:t xml:space="preserve">    ("clf", GradientBoostingClassifier(random_state=42))</w:t>
        <w:br/>
        <w:t>])</w:t>
        <w:br/>
        <w:br/>
        <w:t>tscv = TimeSeriesSplit(n_splits=5)</w:t>
        <w:br/>
        <w:t>scores = cross_val_score(model, X_sorted_by_time, y_sorted_by_time, cv=tscv, scoring="roc_auc")</w:t>
      </w:r>
    </w:p>
    <w:p>
      <w:pPr>
        <w:pStyle w:val="Heading2"/>
      </w:pPr>
      <w:r>
        <w:t>Leakage-Safe Rolling Aggregations in pandas</w:t>
      </w:r>
    </w:p>
    <w:tbl>
      <w:tblPr>
        <w:tblStyle w:val="TableGrid"/>
        <w:tblW w:type="auto" w:w="0"/>
        <w:tblLook w:firstColumn="1" w:firstRow="1" w:lastColumn="0" w:lastRow="0" w:noHBand="0" w:noVBand="1" w:val="04A0"/>
      </w:tblPr>
      <w:tblGrid>
        <w:gridCol w:w="10166"/>
      </w:tblGrid>
      <w:tr>
        <w:tc>
          <w:tcPr>
            <w:tcW w:type="dxa" w:w="10166"/>
            <w:shd w:fill="EAF2F8"/>
          </w:tcPr>
          <w:p>
            <w:r/>
            <w:r>
              <w:rPr>
                <w:b/>
                <w:color w:val="1F4E79"/>
              </w:rPr>
              <w:t xml:space="preserve">Key rule: </w:t>
            </w:r>
            <w:r>
              <w:t>Sort by entity and time, group by the entity, then shift before rolling. The shift excludes the current row so it cannot see itself or the future.</w:t>
            </w:r>
          </w:p>
        </w:tc>
      </w:tr>
    </w:tbl>
    <w:p/>
    <w:p>
      <w:pPr>
        <w:pStyle w:val="CodeBlock"/>
        <w:shd w:fill="EEF2F7"/>
      </w:pPr>
      <w:r>
        <w:t>df = df.sort_values(["customer_id", "timestamp"])</w:t>
        <w:br/>
        <w:br/>
        <w:t>df["past_7_avg_amount"] = (</w:t>
        <w:br/>
        <w:t xml:space="preserve">    df.groupby("customer_id")["amount"]</w:t>
        <w:br/>
        <w:t xml:space="preserve">      .transform(lambda s: s.shift(1).rolling(7, min_periods=1).mean())</w:t>
        <w:br/>
        <w:t>)</w:t>
      </w:r>
    </w:p>
    <w:p>
      <w:pPr>
        <w:pStyle w:val="CodeBlock"/>
        <w:shd w:fill="EEF2F7"/>
      </w:pPr>
      <w:r>
        <w:t># Time-window rolling version</w:t>
        <w:br/>
        <w:t>df = df.sort_values(["customer_id", "timestamp"])</w:t>
        <w:br/>
        <w:br/>
        <w:t>df["past_30d_avg_amount"] = (</w:t>
        <w:br/>
        <w:t xml:space="preserve">    df.set_index("timestamp")</w:t>
        <w:br/>
        <w:t xml:space="preserve">      .groupby("customer_id")["amount"]</w:t>
        <w:br/>
        <w:t xml:space="preserve">      .transform(lambda s: s.shift(1).rolling("30D", min_periods=1).mean())</w:t>
        <w:br/>
        <w:t>)</w:t>
      </w:r>
    </w:p>
    <w:p>
      <w:pPr>
        <w:pStyle w:val="ListBullet"/>
      </w:pPr>
      <w:r>
        <w:t>Use a tie-breaker for duplicate timestamps, such as transaction_id or ingestion_time.</w:t>
      </w:r>
    </w:p>
    <w:p>
      <w:pPr>
        <w:pStyle w:val="ListBullet"/>
      </w:pPr>
      <w:r>
        <w:t>Avoid rolling on the full dataset without grouping if customers/entities should be isolated.</w:t>
      </w:r>
    </w:p>
    <w:p>
      <w:pPr>
        <w:pStyle w:val="ListBullet"/>
      </w:pPr>
      <w:r>
        <w:t>For target-derived aggregations, ensure the target is shifted and only past labels are used.</w:t>
      </w:r>
    </w:p>
    <w:p>
      <w:pPr>
        <w:pStyle w:val="Heading1"/>
      </w:pPr>
      <w:r>
        <w:t>5. ETL Data Quality Framework</w:t>
      </w:r>
    </w:p>
    <w:p>
      <w:r>
        <w:t>A senior ETL quality framework separates dimensions, checks, alert thresholds, and actions. Each rule should be measurable, versioned, automatically tested, and tied to a clear response.</w:t>
      </w:r>
    </w:p>
    <w:tbl>
      <w:tblPr>
        <w:tblStyle w:val="TableGrid"/>
        <w:tblW w:type="auto" w:w="0"/>
        <w:jc w:val="center"/>
        <w:tblLook w:firstColumn="1" w:firstRow="1" w:lastColumn="0" w:lastRow="0" w:noHBand="0" w:noVBand="1" w:val="04A0"/>
      </w:tblPr>
      <w:tblGrid>
        <w:gridCol w:w="2541"/>
        <w:gridCol w:w="2541"/>
        <w:gridCol w:w="2541"/>
        <w:gridCol w:w="2541"/>
      </w:tblGrid>
      <w:tr>
        <w:tc>
          <w:tcPr>
            <w:tcW w:type="dxa" w:w="2304"/>
            <w:vAlign w:val="center"/>
            <w:shd w:fill="1F4E79"/>
          </w:tcPr>
          <w:p>
            <w:pPr>
              <w:spacing w:after="20"/>
            </w:pPr>
            <w:r/>
            <w:r>
              <w:rPr>
                <w:b/>
                <w:color w:val="FFFFFF"/>
              </w:rPr>
              <w:t>Dimension</w:t>
            </w:r>
          </w:p>
        </w:tc>
        <w:tc>
          <w:tcPr>
            <w:tcW w:type="dxa" w:w="3312"/>
            <w:vAlign w:val="center"/>
            <w:shd w:fill="1F4E79"/>
          </w:tcPr>
          <w:p>
            <w:pPr>
              <w:spacing w:after="20"/>
            </w:pPr>
            <w:r/>
            <w:r>
              <w:rPr>
                <w:b/>
                <w:color w:val="FFFFFF"/>
              </w:rPr>
              <w:t>Question answered</w:t>
            </w:r>
          </w:p>
        </w:tc>
        <w:tc>
          <w:tcPr>
            <w:tcW w:type="dxa" w:w="3456"/>
            <w:vAlign w:val="center"/>
            <w:shd w:fill="1F4E79"/>
          </w:tcPr>
          <w:p>
            <w:pPr>
              <w:spacing w:after="20"/>
            </w:pPr>
            <w:r/>
            <w:r>
              <w:rPr>
                <w:b/>
                <w:color w:val="FFFFFF"/>
              </w:rPr>
              <w:t>Example check</w:t>
            </w:r>
          </w:p>
        </w:tc>
        <w:tc>
          <w:tcPr>
            <w:tcW w:type="dxa" w:w="2736"/>
            <w:vAlign w:val="center"/>
            <w:shd w:fill="1F4E79"/>
          </w:tcPr>
          <w:p>
            <w:pPr>
              <w:spacing w:after="20"/>
            </w:pPr>
            <w:r/>
            <w:r>
              <w:rPr>
                <w:b/>
                <w:color w:val="FFFFFF"/>
              </w:rPr>
              <w:t>Typical action</w:t>
            </w:r>
          </w:p>
        </w:tc>
      </w:tr>
      <w:tr>
        <w:tc>
          <w:tcPr>
            <w:tcW w:type="dxa" w:w="2304"/>
            <w:vAlign w:val="center"/>
            <w:shd w:fill="F3F6FA"/>
          </w:tcPr>
          <w:p>
            <w:pPr>
              <w:spacing w:after="20"/>
            </w:pPr>
            <w:r/>
            <w:r>
              <w:rPr>
                <w:b w:val="0"/>
              </w:rPr>
              <w:t>Completeness</w:t>
            </w:r>
          </w:p>
        </w:tc>
        <w:tc>
          <w:tcPr>
            <w:tcW w:type="dxa" w:w="3312"/>
            <w:vAlign w:val="center"/>
            <w:shd w:fill="F3F6FA"/>
          </w:tcPr>
          <w:p>
            <w:pPr>
              <w:spacing w:after="20"/>
            </w:pPr>
            <w:r/>
            <w:r>
              <w:rPr>
                <w:b w:val="0"/>
              </w:rPr>
              <w:t>Required fields are populated.</w:t>
            </w:r>
          </w:p>
        </w:tc>
        <w:tc>
          <w:tcPr>
            <w:tcW w:type="dxa" w:w="3456"/>
            <w:vAlign w:val="center"/>
            <w:shd w:fill="F3F6FA"/>
          </w:tcPr>
          <w:p>
            <w:pPr>
              <w:spacing w:after="20"/>
            </w:pPr>
            <w:r/>
            <w:r>
              <w:rPr>
                <w:b w:val="0"/>
              </w:rPr>
              <w:t>Null rate for customer_id, event_timestamp, target, primary keys.</w:t>
            </w:r>
          </w:p>
        </w:tc>
        <w:tc>
          <w:tcPr>
            <w:tcW w:type="dxa" w:w="2736"/>
            <w:vAlign w:val="center"/>
            <w:shd w:fill="F3F6FA"/>
          </w:tcPr>
          <w:p>
            <w:pPr>
              <w:spacing w:after="20"/>
            </w:pPr>
            <w:r/>
            <w:r>
              <w:rPr>
                <w:b w:val="0"/>
              </w:rPr>
              <w:t>Warn above small tolerance; hard fail for critical keys.</w:t>
            </w:r>
          </w:p>
        </w:tc>
      </w:tr>
      <w:tr>
        <w:tc>
          <w:tcPr>
            <w:tcW w:type="dxa" w:w="2304"/>
            <w:vAlign w:val="center"/>
          </w:tcPr>
          <w:p>
            <w:pPr>
              <w:spacing w:after="20"/>
            </w:pPr>
            <w:r/>
            <w:r>
              <w:rPr>
                <w:b w:val="0"/>
              </w:rPr>
              <w:t>Uniqueness</w:t>
            </w:r>
          </w:p>
        </w:tc>
        <w:tc>
          <w:tcPr>
            <w:tcW w:type="dxa" w:w="3312"/>
            <w:vAlign w:val="center"/>
          </w:tcPr>
          <w:p>
            <w:pPr>
              <w:spacing w:after="20"/>
            </w:pPr>
            <w:r/>
            <w:r>
              <w:rPr>
                <w:b w:val="0"/>
              </w:rPr>
              <w:t>Keys or event IDs are not duplicated.</w:t>
            </w:r>
          </w:p>
        </w:tc>
        <w:tc>
          <w:tcPr>
            <w:tcW w:type="dxa" w:w="3456"/>
            <w:vAlign w:val="center"/>
          </w:tcPr>
          <w:p>
            <w:pPr>
              <w:spacing w:after="20"/>
            </w:pPr>
            <w:r/>
            <w:r>
              <w:rPr>
                <w:b w:val="0"/>
              </w:rPr>
              <w:t>Duplicate rate on event_id or composite key.</w:t>
            </w:r>
          </w:p>
        </w:tc>
        <w:tc>
          <w:tcPr>
            <w:tcW w:type="dxa" w:w="2736"/>
            <w:vAlign w:val="center"/>
          </w:tcPr>
          <w:p>
            <w:pPr>
              <w:spacing w:after="20"/>
            </w:pPr>
            <w:r/>
            <w:r>
              <w:rPr>
                <w:b w:val="0"/>
              </w:rPr>
              <w:t>Usually hard fail for primary-key duplicates.</w:t>
            </w:r>
          </w:p>
        </w:tc>
      </w:tr>
      <w:tr>
        <w:tc>
          <w:tcPr>
            <w:tcW w:type="dxa" w:w="2304"/>
            <w:vAlign w:val="center"/>
            <w:shd w:fill="F3F6FA"/>
          </w:tcPr>
          <w:p>
            <w:pPr>
              <w:spacing w:after="20"/>
            </w:pPr>
            <w:r/>
            <w:r>
              <w:rPr>
                <w:b w:val="0"/>
              </w:rPr>
              <w:t>Validity</w:t>
            </w:r>
          </w:p>
        </w:tc>
        <w:tc>
          <w:tcPr>
            <w:tcW w:type="dxa" w:w="3312"/>
            <w:vAlign w:val="center"/>
            <w:shd w:fill="F3F6FA"/>
          </w:tcPr>
          <w:p>
            <w:pPr>
              <w:spacing w:after="20"/>
            </w:pPr>
            <w:r/>
            <w:r>
              <w:rPr>
                <w:b w:val="0"/>
              </w:rPr>
              <w:t>Values follow expected format, type, range, or category.</w:t>
            </w:r>
          </w:p>
        </w:tc>
        <w:tc>
          <w:tcPr>
            <w:tcW w:type="dxa" w:w="3456"/>
            <w:vAlign w:val="center"/>
            <w:shd w:fill="F3F6FA"/>
          </w:tcPr>
          <w:p>
            <w:pPr>
              <w:spacing w:after="20"/>
            </w:pPr>
            <w:r/>
            <w:r>
              <w:rPr>
                <w:b w:val="0"/>
              </w:rPr>
              <w:t>Negative amounts, invalid dates, malformed IDs, invalid categories.</w:t>
            </w:r>
          </w:p>
        </w:tc>
        <w:tc>
          <w:tcPr>
            <w:tcW w:type="dxa" w:w="2736"/>
            <w:vAlign w:val="center"/>
            <w:shd w:fill="F3F6FA"/>
          </w:tcPr>
          <w:p>
            <w:pPr>
              <w:spacing w:after="20"/>
            </w:pPr>
            <w:r/>
            <w:r>
              <w:rPr>
                <w:b w:val="0"/>
              </w:rPr>
              <w:t>Quarantine bad rows; fail if rate exceeds threshold.</w:t>
            </w:r>
          </w:p>
        </w:tc>
      </w:tr>
      <w:tr>
        <w:tc>
          <w:tcPr>
            <w:tcW w:type="dxa" w:w="2304"/>
            <w:vAlign w:val="center"/>
          </w:tcPr>
          <w:p>
            <w:pPr>
              <w:spacing w:after="20"/>
            </w:pPr>
            <w:r/>
            <w:r>
              <w:rPr>
                <w:b w:val="0"/>
              </w:rPr>
              <w:t>Consistency</w:t>
            </w:r>
          </w:p>
        </w:tc>
        <w:tc>
          <w:tcPr>
            <w:tcW w:type="dxa" w:w="3312"/>
            <w:vAlign w:val="center"/>
          </w:tcPr>
          <w:p>
            <w:pPr>
              <w:spacing w:after="20"/>
            </w:pPr>
            <w:r/>
            <w:r>
              <w:rPr>
                <w:b w:val="0"/>
              </w:rPr>
              <w:t>Fields agree with each other and across tables.</w:t>
            </w:r>
          </w:p>
        </w:tc>
        <w:tc>
          <w:tcPr>
            <w:tcW w:type="dxa" w:w="3456"/>
            <w:vAlign w:val="center"/>
          </w:tcPr>
          <w:p>
            <w:pPr>
              <w:spacing w:after="20"/>
            </w:pPr>
            <w:r/>
            <w:r>
              <w:rPr>
                <w:b w:val="0"/>
              </w:rPr>
              <w:t>end_time &gt;= start_time, component sums equal totals, FK exists.</w:t>
            </w:r>
          </w:p>
        </w:tc>
        <w:tc>
          <w:tcPr>
            <w:tcW w:type="dxa" w:w="2736"/>
            <w:vAlign w:val="center"/>
          </w:tcPr>
          <w:p>
            <w:pPr>
              <w:spacing w:after="20"/>
            </w:pPr>
            <w:r/>
            <w:r>
              <w:rPr>
                <w:b w:val="0"/>
              </w:rPr>
              <w:t>Fail for broken core business rules.</w:t>
            </w:r>
          </w:p>
        </w:tc>
      </w:tr>
      <w:tr>
        <w:tc>
          <w:tcPr>
            <w:tcW w:type="dxa" w:w="2304"/>
            <w:vAlign w:val="center"/>
            <w:shd w:fill="F3F6FA"/>
          </w:tcPr>
          <w:p>
            <w:pPr>
              <w:spacing w:after="20"/>
            </w:pPr>
            <w:r/>
            <w:r>
              <w:rPr>
                <w:b w:val="0"/>
              </w:rPr>
              <w:t>Timeliness / freshness</w:t>
            </w:r>
          </w:p>
        </w:tc>
        <w:tc>
          <w:tcPr>
            <w:tcW w:type="dxa" w:w="3312"/>
            <w:vAlign w:val="center"/>
            <w:shd w:fill="F3F6FA"/>
          </w:tcPr>
          <w:p>
            <w:pPr>
              <w:spacing w:after="20"/>
            </w:pPr>
            <w:r/>
            <w:r>
              <w:rPr>
                <w:b w:val="0"/>
              </w:rPr>
              <w:t>Data arrives within SLA.</w:t>
            </w:r>
          </w:p>
        </w:tc>
        <w:tc>
          <w:tcPr>
            <w:tcW w:type="dxa" w:w="3456"/>
            <w:vAlign w:val="center"/>
            <w:shd w:fill="F3F6FA"/>
          </w:tcPr>
          <w:p>
            <w:pPr>
              <w:spacing w:after="20"/>
            </w:pPr>
            <w:r/>
            <w:r>
              <w:rPr>
                <w:b w:val="0"/>
              </w:rPr>
              <w:t>Max loaded_at age; event-time vs ingestion-time lag.</w:t>
            </w:r>
          </w:p>
        </w:tc>
        <w:tc>
          <w:tcPr>
            <w:tcW w:type="dxa" w:w="2736"/>
            <w:vAlign w:val="center"/>
            <w:shd w:fill="F3F6FA"/>
          </w:tcPr>
          <w:p>
            <w:pPr>
              <w:spacing w:after="20"/>
            </w:pPr>
            <w:r/>
            <w:r>
              <w:rPr>
                <w:b w:val="0"/>
              </w:rPr>
              <w:t>Alert or fail when freshness SLA missed.</w:t>
            </w:r>
          </w:p>
        </w:tc>
      </w:tr>
      <w:tr>
        <w:tc>
          <w:tcPr>
            <w:tcW w:type="dxa" w:w="2304"/>
            <w:vAlign w:val="center"/>
          </w:tcPr>
          <w:p>
            <w:pPr>
              <w:spacing w:after="20"/>
            </w:pPr>
            <w:r/>
            <w:r>
              <w:rPr>
                <w:b w:val="0"/>
              </w:rPr>
              <w:t>Accuracy / reasonableness</w:t>
            </w:r>
          </w:p>
        </w:tc>
        <w:tc>
          <w:tcPr>
            <w:tcW w:type="dxa" w:w="3312"/>
            <w:vAlign w:val="center"/>
          </w:tcPr>
          <w:p>
            <w:pPr>
              <w:spacing w:after="20"/>
            </w:pPr>
            <w:r/>
            <w:r>
              <w:rPr>
                <w:b w:val="0"/>
              </w:rPr>
              <w:t>Values are plausible vs. history or business rules.</w:t>
            </w:r>
          </w:p>
        </w:tc>
        <w:tc>
          <w:tcPr>
            <w:tcW w:type="dxa" w:w="3456"/>
            <w:vAlign w:val="center"/>
          </w:tcPr>
          <w:p>
            <w:pPr>
              <w:spacing w:after="20"/>
            </w:pPr>
            <w:r/>
            <w:r>
              <w:rPr>
                <w:b w:val="0"/>
              </w:rPr>
              <w:t>Metric drift, out-of-range values, sudden revenue/user changes.</w:t>
            </w:r>
          </w:p>
        </w:tc>
        <w:tc>
          <w:tcPr>
            <w:tcW w:type="dxa" w:w="2736"/>
            <w:vAlign w:val="center"/>
          </w:tcPr>
          <w:p>
            <w:pPr>
              <w:spacing w:after="20"/>
            </w:pPr>
            <w:r/>
            <w:r>
              <w:rPr>
                <w:b w:val="0"/>
              </w:rPr>
              <w:t>Warn, investigate, or block publish depending on severity.</w:t>
            </w:r>
          </w:p>
        </w:tc>
      </w:tr>
      <w:tr>
        <w:tc>
          <w:tcPr>
            <w:tcW w:type="dxa" w:w="2304"/>
            <w:vAlign w:val="center"/>
            <w:shd w:fill="F3F6FA"/>
          </w:tcPr>
          <w:p>
            <w:pPr>
              <w:spacing w:after="20"/>
            </w:pPr>
            <w:r/>
            <w:r>
              <w:rPr>
                <w:b w:val="0"/>
              </w:rPr>
              <w:t>Reconciliation / integrity</w:t>
            </w:r>
          </w:p>
        </w:tc>
        <w:tc>
          <w:tcPr>
            <w:tcW w:type="dxa" w:w="3312"/>
            <w:vAlign w:val="center"/>
            <w:shd w:fill="F3F6FA"/>
          </w:tcPr>
          <w:p>
            <w:pPr>
              <w:spacing w:after="20"/>
            </w:pPr>
            <w:r/>
            <w:r>
              <w:rPr>
                <w:b w:val="0"/>
              </w:rPr>
              <w:t>Counts and sums match across pipeline stages.</w:t>
            </w:r>
          </w:p>
        </w:tc>
        <w:tc>
          <w:tcPr>
            <w:tcW w:type="dxa" w:w="3456"/>
            <w:vAlign w:val="center"/>
            <w:shd w:fill="F3F6FA"/>
          </w:tcPr>
          <w:p>
            <w:pPr>
              <w:spacing w:after="20"/>
            </w:pPr>
            <w:r/>
            <w:r>
              <w:rPr>
                <w:b w:val="0"/>
              </w:rPr>
              <w:t>Source/target row counts, checksums, join-drop rates.</w:t>
            </w:r>
          </w:p>
        </w:tc>
        <w:tc>
          <w:tcPr>
            <w:tcW w:type="dxa" w:w="2736"/>
            <w:vAlign w:val="center"/>
            <w:shd w:fill="F3F6FA"/>
          </w:tcPr>
          <w:p>
            <w:pPr>
              <w:spacing w:after="20"/>
            </w:pPr>
            <w:r/>
            <w:r>
              <w:rPr>
                <w:b w:val="0"/>
              </w:rPr>
              <w:t>Fail on unexpected row loss or closed-period changes.</w:t>
            </w:r>
          </w:p>
        </w:tc>
      </w:tr>
    </w:tbl>
    <w:p/>
    <w:tbl>
      <w:tblPr>
        <w:tblStyle w:val="TableGrid"/>
        <w:tblW w:type="auto" w:w="0"/>
        <w:tblLook w:firstColumn="1" w:firstRow="1" w:lastColumn="0" w:lastRow="0" w:noHBand="0" w:noVBand="1" w:val="04A0"/>
      </w:tblPr>
      <w:tblGrid>
        <w:gridCol w:w="10166"/>
      </w:tblGrid>
      <w:tr>
        <w:tc>
          <w:tcPr>
            <w:tcW w:type="dxa" w:w="10166"/>
            <w:shd w:fill="EAF2F8"/>
          </w:tcPr>
          <w:p>
            <w:r/>
            <w:r>
              <w:rPr>
                <w:b/>
                <w:color w:val="1F4E79"/>
              </w:rPr>
              <w:t xml:space="preserve">Severity pattern: </w:t>
            </w:r>
            <w:r>
              <w:t>Severity 1: hard fail, for duplicate primary keys, missing timestamps, broken schema, or closed-period aggregate changes. Severity 2: quarantine and alert, for late-event spikes, invalid-category spikes, or row-count drift. Severity 3: warning, for small null-rate increases or minor freshness delays.</w:t>
            </w:r>
          </w:p>
        </w:tc>
      </w:tr>
    </w:tbl>
    <w:p/>
    <w:p>
      <w:pPr>
        <w:pStyle w:val="CodeBlock"/>
        <w:shd w:fill="EEF2F7"/>
      </w:pPr>
      <w:r>
        <w:t># Simple automated checks</w:t>
        <w:br/>
        <w:t>assert df["event_timestamp"].notna().all()</w:t>
        <w:br/>
        <w:t>assert df["ingestion_timestamp"].notna().all()</w:t>
        <w:br/>
        <w:br/>
        <w:t>allowed_lag = pd.Timedelta(days=1)</w:t>
        <w:br/>
        <w:t>late_rate = ((df["ingestion_timestamp"] - df["event_timestamp"]) &gt; allowed_lag).mean()</w:t>
        <w:br/>
        <w:br/>
        <w:t>if late_rate &gt; 0.01:</w:t>
        <w:br/>
        <w:t xml:space="preserve">    raise ValueError(f"Late event rate exceeded threshold: {late_rate:.2%}")</w:t>
      </w:r>
    </w:p>
    <w:p>
      <w:pPr>
        <w:pStyle w:val="Heading2"/>
      </w:pPr>
      <w:r>
        <w:t>Handling Late-Arriving Events</w:t>
      </w:r>
    </w:p>
    <w:p>
      <w:pPr>
        <w:pStyle w:val="ListBullet"/>
      </w:pPr>
      <w:r>
        <w:t>Track both event_timestamp and ingestion_timestamp.</w:t>
      </w:r>
    </w:p>
    <w:p>
      <w:pPr>
        <w:pStyle w:val="ListBullet"/>
      </w:pPr>
      <w:r>
        <w:t>Define an allowed-lag rule that marks events as late.</w:t>
      </w:r>
    </w:p>
    <w:p>
      <w:pPr>
        <w:pStyle w:val="ListBullet"/>
      </w:pPr>
      <w:r>
        <w:t>Use watermarks or closed periods so late events do not silently change history.</w:t>
      </w:r>
    </w:p>
    <w:p>
      <w:pPr>
        <w:pStyle w:val="ListBullet"/>
      </w:pPr>
      <w:r>
        <w:t>Route late records to a correction table, reprocessing queue, or exception workflow.</w:t>
      </w:r>
    </w:p>
    <w:p>
      <w:pPr>
        <w:pStyle w:val="ListBullet"/>
      </w:pPr>
      <w:r>
        <w:t>Version aggregates with computed_at, source max event time, source max ingestion time, row count, checksum, and version.</w:t>
      </w:r>
    </w:p>
    <w:p>
      <w:pPr>
        <w:pStyle w:val="ListBullet"/>
      </w:pPr>
      <w:r>
        <w:t>Compare new aggregate outputs with previous published versions before publishing.</w:t>
      </w:r>
    </w:p>
    <w:p>
      <w:pPr>
        <w:pStyle w:val="Heading1"/>
      </w:pPr>
      <w:r>
        <w:t>6. EDA Outputs and Distribution-Shift Triage</w:t>
      </w:r>
    </w:p>
    <w:p>
      <w:r>
        <w:t>The first EDA outputs should quickly answer: What is missing? What is suspicious? Has the data-generating process changed?</w:t>
      </w:r>
    </w:p>
    <w:tbl>
      <w:tblPr>
        <w:tblStyle w:val="TableGrid"/>
        <w:tblW w:type="auto" w:w="0"/>
        <w:jc w:val="center"/>
        <w:tblLook w:firstColumn="1" w:firstRow="1" w:lastColumn="0" w:lastRow="0" w:noHBand="0" w:noVBand="1" w:val="04A0"/>
      </w:tblPr>
      <w:tblGrid>
        <w:gridCol w:w="3389"/>
        <w:gridCol w:w="3389"/>
        <w:gridCol w:w="3389"/>
      </w:tblGrid>
      <w:tr>
        <w:tc>
          <w:tcPr>
            <w:tcW w:type="dxa" w:w="2592"/>
            <w:vAlign w:val="center"/>
            <w:shd w:fill="1F4E79"/>
          </w:tcPr>
          <w:p>
            <w:pPr>
              <w:spacing w:after="20"/>
            </w:pPr>
            <w:r/>
            <w:r>
              <w:rPr>
                <w:b/>
                <w:color w:val="FFFFFF"/>
              </w:rPr>
              <w:t>Output</w:t>
            </w:r>
          </w:p>
        </w:tc>
        <w:tc>
          <w:tcPr>
            <w:tcW w:type="dxa" w:w="4320"/>
            <w:vAlign w:val="center"/>
            <w:shd w:fill="1F4E79"/>
          </w:tcPr>
          <w:p>
            <w:pPr>
              <w:spacing w:after="20"/>
            </w:pPr>
            <w:r/>
            <w:r>
              <w:rPr>
                <w:b/>
                <w:color w:val="FFFFFF"/>
              </w:rPr>
              <w:t>Columns / content</w:t>
            </w:r>
          </w:p>
        </w:tc>
        <w:tc>
          <w:tcPr>
            <w:tcW w:type="dxa" w:w="3600"/>
            <w:vAlign w:val="center"/>
            <w:shd w:fill="1F4E79"/>
          </w:tcPr>
          <w:p>
            <w:pPr>
              <w:spacing w:after="20"/>
            </w:pPr>
            <w:r/>
            <w:r>
              <w:rPr>
                <w:b/>
                <w:color w:val="FFFFFF"/>
              </w:rPr>
              <w:t>What it detects</w:t>
            </w:r>
          </w:p>
        </w:tc>
      </w:tr>
      <w:tr>
        <w:tc>
          <w:tcPr>
            <w:tcW w:type="dxa" w:w="2592"/>
            <w:vAlign w:val="center"/>
            <w:shd w:fill="F3F6FA"/>
          </w:tcPr>
          <w:p>
            <w:pPr>
              <w:spacing w:after="20"/>
            </w:pPr>
            <w:r/>
            <w:r>
              <w:rPr>
                <w:b w:val="0"/>
              </w:rPr>
              <w:t>Missingness summary</w:t>
            </w:r>
          </w:p>
        </w:tc>
        <w:tc>
          <w:tcPr>
            <w:tcW w:type="dxa" w:w="4320"/>
            <w:vAlign w:val="center"/>
            <w:shd w:fill="F3F6FA"/>
          </w:tcPr>
          <w:p>
            <w:pPr>
              <w:spacing w:after="20"/>
            </w:pPr>
            <w:r/>
            <w:r>
              <w:rPr>
                <w:b w:val="0"/>
              </w:rPr>
              <w:t>dtype, null count, null %, unique count, sample values.</w:t>
            </w:r>
          </w:p>
        </w:tc>
        <w:tc>
          <w:tcPr>
            <w:tcW w:type="dxa" w:w="3600"/>
            <w:vAlign w:val="center"/>
            <w:shd w:fill="F3F6FA"/>
          </w:tcPr>
          <w:p>
            <w:pPr>
              <w:spacing w:after="20"/>
            </w:pPr>
            <w:r/>
            <w:r>
              <w:rPr>
                <w:b w:val="0"/>
              </w:rPr>
              <w:t>Unusable fields, sparse features, clustered missingness by time/source/segment.</w:t>
            </w:r>
          </w:p>
        </w:tc>
      </w:tr>
      <w:tr>
        <w:tc>
          <w:tcPr>
            <w:tcW w:type="dxa" w:w="2592"/>
            <w:vAlign w:val="center"/>
          </w:tcPr>
          <w:p>
            <w:pPr>
              <w:spacing w:after="20"/>
            </w:pPr>
            <w:r/>
            <w:r>
              <w:rPr>
                <w:b w:val="0"/>
              </w:rPr>
              <w:t>Distribution/outlier summary</w:t>
            </w:r>
          </w:p>
        </w:tc>
        <w:tc>
          <w:tcPr>
            <w:tcW w:type="dxa" w:w="4320"/>
            <w:vAlign w:val="center"/>
          </w:tcPr>
          <w:p>
            <w:pPr>
              <w:spacing w:after="20"/>
            </w:pPr>
            <w:r/>
            <w:r>
              <w:rPr>
                <w:b w:val="0"/>
              </w:rPr>
              <w:t>mean, median, std, min, max, p1, p25, p75, p99, IQR outlier count.</w:t>
            </w:r>
          </w:p>
        </w:tc>
        <w:tc>
          <w:tcPr>
            <w:tcW w:type="dxa" w:w="3600"/>
            <w:vAlign w:val="center"/>
          </w:tcPr>
          <w:p>
            <w:pPr>
              <w:spacing w:after="20"/>
            </w:pPr>
            <w:r/>
            <w:r>
              <w:rPr>
                <w:b w:val="0"/>
              </w:rPr>
              <w:t>Impossible values, skew, tails, data-entry errors.</w:t>
            </w:r>
          </w:p>
        </w:tc>
      </w:tr>
      <w:tr>
        <w:tc>
          <w:tcPr>
            <w:tcW w:type="dxa" w:w="2592"/>
            <w:vAlign w:val="center"/>
            <w:shd w:fill="F3F6FA"/>
          </w:tcPr>
          <w:p>
            <w:pPr>
              <w:spacing w:after="20"/>
            </w:pPr>
            <w:r/>
            <w:r>
              <w:rPr>
                <w:b w:val="0"/>
              </w:rPr>
              <w:t>Drift or segment comparison</w:t>
            </w:r>
          </w:p>
        </w:tc>
        <w:tc>
          <w:tcPr>
            <w:tcW w:type="dxa" w:w="4320"/>
            <w:vAlign w:val="center"/>
            <w:shd w:fill="F3F6FA"/>
          </w:tcPr>
          <w:p>
            <w:pPr>
              <w:spacing w:after="20"/>
            </w:pPr>
            <w:r/>
            <w:r>
              <w:rPr>
                <w:b w:val="0"/>
              </w:rPr>
              <w:t>current vs baseline stats, pct change, PSI/KS, alert flag.</w:t>
            </w:r>
          </w:p>
        </w:tc>
        <w:tc>
          <w:tcPr>
            <w:tcW w:type="dxa" w:w="3600"/>
            <w:vAlign w:val="center"/>
            <w:shd w:fill="F3F6FA"/>
          </w:tcPr>
          <w:p>
            <w:pPr>
              <w:spacing w:after="20"/>
            </w:pPr>
            <w:r/>
            <w:r>
              <w:rPr>
                <w:b w:val="0"/>
              </w:rPr>
              <w:t>Pipeline changes, product changes, seasonality, source differences.</w:t>
            </w:r>
          </w:p>
        </w:tc>
      </w:tr>
    </w:tbl>
    <w:p/>
    <w:tbl>
      <w:tblPr>
        <w:tblStyle w:val="TableGrid"/>
        <w:tblW w:type="auto" w:w="0"/>
        <w:tblLook w:firstColumn="1" w:firstRow="1" w:lastColumn="0" w:lastRow="0" w:noHBand="0" w:noVBand="1" w:val="04A0"/>
      </w:tblPr>
      <w:tblGrid>
        <w:gridCol w:w="10166"/>
      </w:tblGrid>
      <w:tr>
        <w:tc>
          <w:tcPr>
            <w:tcW w:type="dxa" w:w="10166"/>
            <w:shd w:fill="EAF2F8"/>
          </w:tcPr>
          <w:p>
            <w:r/>
            <w:r>
              <w:rPr>
                <w:b/>
                <w:color w:val="1F4E79"/>
              </w:rPr>
              <w:t xml:space="preserve">Distribution shift triage: </w:t>
            </w:r>
            <w:r>
              <w:t>Separate statistical evidence, pipeline evidence, and business evidence before deciding whether a shift is real.</w:t>
            </w:r>
          </w:p>
        </w:tc>
      </w:tr>
    </w:tbl>
    <w:p/>
    <w:p>
      <w:pPr>
        <w:pStyle w:val="ListBullet"/>
      </w:pPr>
      <w:r>
        <w:t>Sampling noise: Check sample sizes, confidence intervals, historical variance, seasonality, and whether the shift is larger than normal period-to-period movement.</w:t>
      </w:r>
    </w:p>
    <w:p>
      <w:pPr>
        <w:pStyle w:val="ListBullet"/>
      </w:pPr>
      <w:r>
        <w:t>Pipeline issue: Inspect row counts, null rates, schema changes, source-system changes, duplicate rates, late-arriving data, join drop rates, and category mapping changes.</w:t>
      </w:r>
    </w:p>
    <w:p>
      <w:pPr>
        <w:pStyle w:val="ListBullet"/>
      </w:pPr>
      <w:r>
        <w:t>Real business change: Look for a coherent segment pattern by product, geography, customer type, channel, device, or source that aligns with campaigns, pricing changes, outages, policy changes, macro conditions, or product launches.</w:t>
      </w:r>
    </w:p>
    <w:p>
      <w:pPr>
        <w:pStyle w:val="Heading1"/>
      </w:pPr>
      <w:r>
        <w:t>7. Executive Dashboard Design for KPI Drops</w:t>
      </w:r>
    </w:p>
    <w:p>
      <w:r>
        <w:t>A single executive dashboard page should explain the KPI drop and separate noise, data issue, and true business change. It should not just show a KPI chart.</w:t>
      </w:r>
    </w:p>
    <w:tbl>
      <w:tblPr>
        <w:tblStyle w:val="TableGrid"/>
        <w:tblW w:type="auto" w:w="0"/>
        <w:jc w:val="center"/>
        <w:tblLook w:firstColumn="1" w:firstRow="1" w:lastColumn="0" w:lastRow="0" w:noHBand="0" w:noVBand="1" w:val="04A0"/>
      </w:tblPr>
      <w:tblGrid>
        <w:gridCol w:w="3389"/>
        <w:gridCol w:w="3389"/>
        <w:gridCol w:w="3389"/>
      </w:tblGrid>
      <w:tr>
        <w:tc>
          <w:tcPr>
            <w:tcW w:type="dxa" w:w="1872"/>
            <w:vAlign w:val="center"/>
            <w:shd w:fill="1F4E79"/>
          </w:tcPr>
          <w:p>
            <w:pPr>
              <w:spacing w:after="20"/>
            </w:pPr>
            <w:r/>
            <w:r>
              <w:rPr>
                <w:b/>
                <w:color w:val="FFFFFF"/>
              </w:rPr>
              <w:t>Area</w:t>
            </w:r>
          </w:p>
        </w:tc>
        <w:tc>
          <w:tcPr>
            <w:tcW w:type="dxa" w:w="4896"/>
            <w:vAlign w:val="center"/>
            <w:shd w:fill="1F4E79"/>
          </w:tcPr>
          <w:p>
            <w:pPr>
              <w:spacing w:after="20"/>
            </w:pPr>
            <w:r/>
            <w:r>
              <w:rPr>
                <w:b/>
                <w:color w:val="FFFFFF"/>
              </w:rPr>
              <w:t>Visual / content</w:t>
            </w:r>
          </w:p>
        </w:tc>
        <w:tc>
          <w:tcPr>
            <w:tcW w:type="dxa" w:w="3456"/>
            <w:vAlign w:val="center"/>
            <w:shd w:fill="1F4E79"/>
          </w:tcPr>
          <w:p>
            <w:pPr>
              <w:spacing w:after="20"/>
            </w:pPr>
            <w:r/>
            <w:r>
              <w:rPr>
                <w:b/>
                <w:color w:val="FFFFFF"/>
              </w:rPr>
              <w:t>Purpose</w:t>
            </w:r>
          </w:p>
        </w:tc>
      </w:tr>
      <w:tr>
        <w:tc>
          <w:tcPr>
            <w:tcW w:type="dxa" w:w="1872"/>
            <w:vAlign w:val="center"/>
            <w:shd w:fill="F3F6FA"/>
          </w:tcPr>
          <w:p>
            <w:pPr>
              <w:spacing w:after="20"/>
            </w:pPr>
            <w:r/>
            <w:r>
              <w:rPr>
                <w:b w:val="0"/>
              </w:rPr>
              <w:t>Top band</w:t>
            </w:r>
          </w:p>
        </w:tc>
        <w:tc>
          <w:tcPr>
            <w:tcW w:type="dxa" w:w="4896"/>
            <w:vAlign w:val="center"/>
            <w:shd w:fill="F3F6FA"/>
          </w:tcPr>
          <w:p>
            <w:pPr>
              <w:spacing w:after="20"/>
            </w:pPr>
            <w:r/>
            <w:r>
              <w:rPr>
                <w:b w:val="0"/>
              </w:rPr>
              <w:t>KPI headline card, current vs previous, absolute and percent change, status, expected range indicator.</w:t>
            </w:r>
          </w:p>
        </w:tc>
        <w:tc>
          <w:tcPr>
            <w:tcW w:type="dxa" w:w="3456"/>
            <w:vAlign w:val="center"/>
            <w:shd w:fill="F3F6FA"/>
          </w:tcPr>
          <w:p>
            <w:pPr>
              <w:spacing w:after="20"/>
            </w:pPr>
            <w:r/>
            <w:r>
              <w:rPr>
                <w:b w:val="0"/>
              </w:rPr>
              <w:t>Shows magnitude and whether the drop is outside normal variance.</w:t>
            </w:r>
          </w:p>
        </w:tc>
      </w:tr>
      <w:tr>
        <w:tc>
          <w:tcPr>
            <w:tcW w:type="dxa" w:w="1872"/>
            <w:vAlign w:val="center"/>
          </w:tcPr>
          <w:p>
            <w:pPr>
              <w:spacing w:after="20"/>
            </w:pPr>
            <w:r/>
            <w:r>
              <w:rPr>
                <w:b w:val="0"/>
              </w:rPr>
              <w:t>Main visual</w:t>
            </w:r>
          </w:p>
        </w:tc>
        <w:tc>
          <w:tcPr>
            <w:tcW w:type="dxa" w:w="4896"/>
            <w:vAlign w:val="center"/>
          </w:tcPr>
          <w:p>
            <w:pPr>
              <w:spacing w:after="20"/>
            </w:pPr>
            <w:r/>
            <w:r>
              <w:rPr>
                <w:b w:val="0"/>
              </w:rPr>
              <w:t>Time-series KPI line chart with rolling average, confidence band, and annotations for deployments, campaigns, outages, and holidays.</w:t>
            </w:r>
          </w:p>
        </w:tc>
        <w:tc>
          <w:tcPr>
            <w:tcW w:type="dxa" w:w="3456"/>
            <w:vAlign w:val="center"/>
          </w:tcPr>
          <w:p>
            <w:pPr>
              <w:spacing w:after="20"/>
            </w:pPr>
            <w:r/>
            <w:r>
              <w:rPr>
                <w:b w:val="0"/>
              </w:rPr>
              <w:t>Shows timing and whether the shift lines up with events.</w:t>
            </w:r>
          </w:p>
        </w:tc>
      </w:tr>
      <w:tr>
        <w:tc>
          <w:tcPr>
            <w:tcW w:type="dxa" w:w="1872"/>
            <w:vAlign w:val="center"/>
            <w:shd w:fill="F3F6FA"/>
          </w:tcPr>
          <w:p>
            <w:pPr>
              <w:spacing w:after="20"/>
            </w:pPr>
            <w:r/>
            <w:r>
              <w:rPr>
                <w:b w:val="0"/>
              </w:rPr>
              <w:t>Noise check</w:t>
            </w:r>
          </w:p>
        </w:tc>
        <w:tc>
          <w:tcPr>
            <w:tcW w:type="dxa" w:w="4896"/>
            <w:vAlign w:val="center"/>
            <w:shd w:fill="F3F6FA"/>
          </w:tcPr>
          <w:p>
            <w:pPr>
              <w:spacing w:after="20"/>
            </w:pPr>
            <w:r/>
            <w:r>
              <w:rPr>
                <w:b w:val="0"/>
              </w:rPr>
              <w:t>Distribution of historical period-to-period changes or control chart.</w:t>
            </w:r>
          </w:p>
        </w:tc>
        <w:tc>
          <w:tcPr>
            <w:tcW w:type="dxa" w:w="3456"/>
            <w:vAlign w:val="center"/>
            <w:shd w:fill="F3F6FA"/>
          </w:tcPr>
          <w:p>
            <w:pPr>
              <w:spacing w:after="20"/>
            </w:pPr>
            <w:r/>
            <w:r>
              <w:rPr>
                <w:b w:val="0"/>
              </w:rPr>
              <w:t>Shows whether the current drop is unusual or within noise.</w:t>
            </w:r>
          </w:p>
        </w:tc>
      </w:tr>
      <w:tr>
        <w:tc>
          <w:tcPr>
            <w:tcW w:type="dxa" w:w="1872"/>
            <w:vAlign w:val="center"/>
          </w:tcPr>
          <w:p>
            <w:pPr>
              <w:spacing w:after="20"/>
            </w:pPr>
            <w:r/>
            <w:r>
              <w:rPr>
                <w:b w:val="0"/>
              </w:rPr>
              <w:t>Data quality check</w:t>
            </w:r>
          </w:p>
        </w:tc>
        <w:tc>
          <w:tcPr>
            <w:tcW w:type="dxa" w:w="4896"/>
            <w:vAlign w:val="center"/>
          </w:tcPr>
          <w:p>
            <w:pPr>
              <w:spacing w:after="20"/>
            </w:pPr>
            <w:r/>
            <w:r>
              <w:rPr>
                <w:b w:val="0"/>
              </w:rPr>
              <w:t>Freshness, row count, null rate, duplicate rate, join drop rate, late events, schema changes.</w:t>
            </w:r>
          </w:p>
        </w:tc>
        <w:tc>
          <w:tcPr>
            <w:tcW w:type="dxa" w:w="3456"/>
            <w:vAlign w:val="center"/>
          </w:tcPr>
          <w:p>
            <w:pPr>
              <w:spacing w:after="20"/>
            </w:pPr>
            <w:r/>
            <w:r>
              <w:rPr>
                <w:b w:val="0"/>
              </w:rPr>
              <w:t>Shows whether the data can be trusted.</w:t>
            </w:r>
          </w:p>
        </w:tc>
      </w:tr>
      <w:tr>
        <w:tc>
          <w:tcPr>
            <w:tcW w:type="dxa" w:w="1872"/>
            <w:vAlign w:val="center"/>
            <w:shd w:fill="F3F6FA"/>
          </w:tcPr>
          <w:p>
            <w:pPr>
              <w:spacing w:after="20"/>
            </w:pPr>
            <w:r/>
            <w:r>
              <w:rPr>
                <w:b w:val="0"/>
              </w:rPr>
              <w:t>Segment breakdown</w:t>
            </w:r>
          </w:p>
        </w:tc>
        <w:tc>
          <w:tcPr>
            <w:tcW w:type="dxa" w:w="4896"/>
            <w:vAlign w:val="center"/>
            <w:shd w:fill="F3F6FA"/>
          </w:tcPr>
          <w:p>
            <w:pPr>
              <w:spacing w:after="20"/>
            </w:pPr>
            <w:r/>
            <w:r>
              <w:rPr>
                <w:b w:val="0"/>
              </w:rPr>
              <w:t>Ranked bar chart or heatmap by product, geography, customer type, channel, device, or sales team.</w:t>
            </w:r>
          </w:p>
        </w:tc>
        <w:tc>
          <w:tcPr>
            <w:tcW w:type="dxa" w:w="3456"/>
            <w:vAlign w:val="center"/>
            <w:shd w:fill="F3F6FA"/>
          </w:tcPr>
          <w:p>
            <w:pPr>
              <w:spacing w:after="20"/>
            </w:pPr>
            <w:r/>
            <w:r>
              <w:rPr>
                <w:b w:val="0"/>
              </w:rPr>
              <w:t>Shows which segment drove the change.</w:t>
            </w:r>
          </w:p>
        </w:tc>
      </w:tr>
      <w:tr>
        <w:tc>
          <w:tcPr>
            <w:tcW w:type="dxa" w:w="1872"/>
            <w:vAlign w:val="center"/>
          </w:tcPr>
          <w:p>
            <w:pPr>
              <w:spacing w:after="20"/>
            </w:pPr>
            <w:r/>
            <w:r>
              <w:rPr>
                <w:b w:val="0"/>
              </w:rPr>
              <w:t>Annotation box</w:t>
            </w:r>
          </w:p>
        </w:tc>
        <w:tc>
          <w:tcPr>
            <w:tcW w:type="dxa" w:w="4896"/>
            <w:vAlign w:val="center"/>
          </w:tcPr>
          <w:p>
            <w:pPr>
              <w:spacing w:after="20"/>
            </w:pPr>
            <w:r/>
            <w:r>
              <w:rPr>
                <w:b w:val="0"/>
              </w:rPr>
              <w:t>Likely driver, evidence, recommended action, owner, caveat.</w:t>
            </w:r>
          </w:p>
        </w:tc>
        <w:tc>
          <w:tcPr>
            <w:tcW w:type="dxa" w:w="3456"/>
            <w:vAlign w:val="center"/>
          </w:tcPr>
          <w:p>
            <w:pPr>
              <w:spacing w:after="20"/>
            </w:pPr>
            <w:r/>
            <w:r>
              <w:rPr>
                <w:b w:val="0"/>
              </w:rPr>
              <w:t>Makes the dashboard actionable for leadership.</w:t>
            </w:r>
          </w:p>
        </w:tc>
      </w:tr>
    </w:tbl>
    <w:p/>
    <w:p>
      <w:pPr>
        <w:pStyle w:val="Heading1"/>
      </w:pPr>
      <w:r>
        <w:t>8. CreditScoreV4 Production Incident Case Study</w:t>
      </w:r>
    </w:p>
    <w:tbl>
      <w:tblPr>
        <w:tblStyle w:val="TableGrid"/>
        <w:tblW w:type="auto" w:w="0"/>
        <w:tblLook w:firstColumn="1" w:firstRow="1" w:lastColumn="0" w:lastRow="0" w:noHBand="0" w:noVBand="1" w:val="04A0"/>
      </w:tblPr>
      <w:tblGrid>
        <w:gridCol w:w="10166"/>
      </w:tblGrid>
      <w:tr>
        <w:tc>
          <w:tcPr>
            <w:tcW w:type="dxa" w:w="10166"/>
            <w:shd w:fill="EAF2F8"/>
          </w:tcPr>
          <w:p>
            <w:r/>
            <w:r>
              <w:rPr>
                <w:b/>
                <w:color w:val="1F4E79"/>
              </w:rPr>
              <w:t xml:space="preserve">Scenario: </w:t>
            </w:r>
            <w:r>
              <w:t>FinLend uses CreditScoreV4, a gradient-boosted loan approval model with about 180 features. The model outputs probability of 90+ day delinquency within 12 months. Approval threshold is P(default) &lt; 0.18. The model is experiencing a performance drop and a fairness complaint.</w:t>
            </w:r>
          </w:p>
        </w:tc>
      </w:tr>
    </w:tbl>
    <w:p/>
    <w:tbl>
      <w:tblPr>
        <w:tblStyle w:val="TableGrid"/>
        <w:tblW w:type="auto" w:w="0"/>
        <w:jc w:val="center"/>
        <w:tblLook w:firstColumn="1" w:firstRow="1" w:lastColumn="0" w:lastRow="0" w:noHBand="0" w:noVBand="1" w:val="04A0"/>
      </w:tblPr>
      <w:tblGrid>
        <w:gridCol w:w="5083"/>
        <w:gridCol w:w="5083"/>
      </w:tblGrid>
      <w:tr>
        <w:tc>
          <w:tcPr>
            <w:tcW w:type="dxa" w:w="3168"/>
            <w:vAlign w:val="center"/>
            <w:shd w:fill="1F4E79"/>
          </w:tcPr>
          <w:p>
            <w:pPr>
              <w:spacing w:after="20"/>
            </w:pPr>
            <w:r/>
            <w:r>
              <w:rPr>
                <w:b/>
                <w:color w:val="FFFFFF"/>
              </w:rPr>
              <w:t>Metric / fact</w:t>
            </w:r>
          </w:p>
        </w:tc>
        <w:tc>
          <w:tcPr>
            <w:tcW w:type="dxa" w:w="7200"/>
            <w:vAlign w:val="center"/>
            <w:shd w:fill="1F4E79"/>
          </w:tcPr>
          <w:p>
            <w:pPr>
              <w:spacing w:after="20"/>
            </w:pPr>
            <w:r/>
            <w:r>
              <w:rPr>
                <w:b/>
                <w:color w:val="FFFFFF"/>
              </w:rPr>
              <w:t>Value</w:t>
            </w:r>
          </w:p>
        </w:tc>
      </w:tr>
      <w:tr>
        <w:tc>
          <w:tcPr>
            <w:tcW w:type="dxa" w:w="3168"/>
            <w:vAlign w:val="center"/>
            <w:shd w:fill="F3F6FA"/>
          </w:tcPr>
          <w:p>
            <w:pPr>
              <w:spacing w:after="20"/>
            </w:pPr>
            <w:r/>
            <w:r>
              <w:rPr>
                <w:b w:val="0"/>
              </w:rPr>
              <w:t>Model</w:t>
            </w:r>
          </w:p>
        </w:tc>
        <w:tc>
          <w:tcPr>
            <w:tcW w:type="dxa" w:w="7200"/>
            <w:vAlign w:val="center"/>
            <w:shd w:fill="F3F6FA"/>
          </w:tcPr>
          <w:p>
            <w:pPr>
              <w:spacing w:after="20"/>
            </w:pPr>
            <w:r/>
            <w:r>
              <w:rPr>
                <w:b w:val="0"/>
              </w:rPr>
              <w:t>CreditScoreV4, GBM, ~180 features</w:t>
            </w:r>
          </w:p>
        </w:tc>
      </w:tr>
      <w:tr>
        <w:tc>
          <w:tcPr>
            <w:tcW w:type="dxa" w:w="3168"/>
            <w:vAlign w:val="center"/>
          </w:tcPr>
          <w:p>
            <w:pPr>
              <w:spacing w:after="20"/>
            </w:pPr>
            <w:r/>
            <w:r>
              <w:rPr>
                <w:b w:val="0"/>
              </w:rPr>
              <w:t>Approval threshold</w:t>
            </w:r>
          </w:p>
        </w:tc>
        <w:tc>
          <w:tcPr>
            <w:tcW w:type="dxa" w:w="7200"/>
            <w:vAlign w:val="center"/>
          </w:tcPr>
          <w:p>
            <w:pPr>
              <w:spacing w:after="20"/>
            </w:pPr>
            <w:r/>
            <w:r>
              <w:rPr>
                <w:b w:val="0"/>
              </w:rPr>
              <w:t>P(default) &lt; 0.18</w:t>
            </w:r>
          </w:p>
        </w:tc>
      </w:tr>
      <w:tr>
        <w:tc>
          <w:tcPr>
            <w:tcW w:type="dxa" w:w="3168"/>
            <w:vAlign w:val="center"/>
            <w:shd w:fill="F3F6FA"/>
          </w:tcPr>
          <w:p>
            <w:pPr>
              <w:spacing w:after="20"/>
            </w:pPr>
            <w:r/>
            <w:r>
              <w:rPr>
                <w:b w:val="0"/>
              </w:rPr>
              <w:t>Historical AUC</w:t>
            </w:r>
          </w:p>
        </w:tc>
        <w:tc>
          <w:tcPr>
            <w:tcW w:type="dxa" w:w="7200"/>
            <w:vAlign w:val="center"/>
            <w:shd w:fill="F3F6FA"/>
          </w:tcPr>
          <w:p>
            <w:pPr>
              <w:spacing w:after="20"/>
            </w:pPr>
            <w:r/>
            <w:r>
              <w:rPr>
                <w:b w:val="0"/>
              </w:rPr>
              <w:t>0.81</w:t>
            </w:r>
          </w:p>
        </w:tc>
      </w:tr>
      <w:tr>
        <w:tc>
          <w:tcPr>
            <w:tcW w:type="dxa" w:w="3168"/>
            <w:vAlign w:val="center"/>
          </w:tcPr>
          <w:p>
            <w:pPr>
              <w:spacing w:after="20"/>
            </w:pPr>
            <w:r/>
            <w:r>
              <w:rPr>
                <w:b w:val="0"/>
              </w:rPr>
              <w:t>Current AUC</w:t>
            </w:r>
          </w:p>
        </w:tc>
        <w:tc>
          <w:tcPr>
            <w:tcW w:type="dxa" w:w="7200"/>
            <w:vAlign w:val="center"/>
          </w:tcPr>
          <w:p>
            <w:pPr>
              <w:spacing w:after="20"/>
            </w:pPr>
            <w:r/>
            <w:r>
              <w:rPr>
                <w:b w:val="0"/>
              </w:rPr>
              <w:t>0.74</w:t>
            </w:r>
          </w:p>
        </w:tc>
      </w:tr>
      <w:tr>
        <w:tc>
          <w:tcPr>
            <w:tcW w:type="dxa" w:w="3168"/>
            <w:vAlign w:val="center"/>
            <w:shd w:fill="F3F6FA"/>
          </w:tcPr>
          <w:p>
            <w:pPr>
              <w:spacing w:after="20"/>
            </w:pPr>
            <w:r/>
            <w:r>
              <w:rPr>
                <w:b w:val="0"/>
              </w:rPr>
              <w:t>Historical early delinquency</w:t>
            </w:r>
          </w:p>
        </w:tc>
        <w:tc>
          <w:tcPr>
            <w:tcW w:type="dxa" w:w="7200"/>
            <w:vAlign w:val="center"/>
            <w:shd w:fill="F3F6FA"/>
          </w:tcPr>
          <w:p>
            <w:pPr>
              <w:spacing w:after="20"/>
            </w:pPr>
            <w:r/>
            <w:r>
              <w:rPr>
                <w:b w:val="0"/>
              </w:rPr>
              <w:t>3.1%</w:t>
            </w:r>
          </w:p>
        </w:tc>
      </w:tr>
      <w:tr>
        <w:tc>
          <w:tcPr>
            <w:tcW w:type="dxa" w:w="3168"/>
            <w:vAlign w:val="center"/>
          </w:tcPr>
          <w:p>
            <w:pPr>
              <w:spacing w:after="20"/>
            </w:pPr>
            <w:r/>
            <w:r>
              <w:rPr>
                <w:b w:val="0"/>
              </w:rPr>
              <w:t>Current early delinquency</w:t>
            </w:r>
          </w:p>
        </w:tc>
        <w:tc>
          <w:tcPr>
            <w:tcW w:type="dxa" w:w="7200"/>
            <w:vAlign w:val="center"/>
          </w:tcPr>
          <w:p>
            <w:pPr>
              <w:spacing w:after="20"/>
            </w:pPr>
            <w:r/>
            <w:r>
              <w:rPr>
                <w:b w:val="0"/>
              </w:rPr>
              <w:t>5.4%</w:t>
            </w:r>
          </w:p>
        </w:tc>
      </w:tr>
      <w:tr>
        <w:tc>
          <w:tcPr>
            <w:tcW w:type="dxa" w:w="3168"/>
            <w:vAlign w:val="center"/>
            <w:shd w:fill="F3F6FA"/>
          </w:tcPr>
          <w:p>
            <w:pPr>
              <w:spacing w:after="20"/>
            </w:pPr>
            <w:r/>
            <w:r>
              <w:rPr>
                <w:b w:val="0"/>
              </w:rPr>
              <w:t>Historical approval rate</w:t>
            </w:r>
          </w:p>
        </w:tc>
        <w:tc>
          <w:tcPr>
            <w:tcW w:type="dxa" w:w="7200"/>
            <w:vAlign w:val="center"/>
            <w:shd w:fill="F3F6FA"/>
          </w:tcPr>
          <w:p>
            <w:pPr>
              <w:spacing w:after="20"/>
            </w:pPr>
            <w:r/>
            <w:r>
              <w:rPr>
                <w:b w:val="0"/>
              </w:rPr>
              <w:t>42%</w:t>
            </w:r>
          </w:p>
        </w:tc>
      </w:tr>
      <w:tr>
        <w:tc>
          <w:tcPr>
            <w:tcW w:type="dxa" w:w="3168"/>
            <w:vAlign w:val="center"/>
          </w:tcPr>
          <w:p>
            <w:pPr>
              <w:spacing w:after="20"/>
            </w:pPr>
            <w:r/>
            <w:r>
              <w:rPr>
                <w:b w:val="0"/>
              </w:rPr>
              <w:t>Current approval rate</w:t>
            </w:r>
          </w:p>
        </w:tc>
        <w:tc>
          <w:tcPr>
            <w:tcW w:type="dxa" w:w="7200"/>
            <w:vAlign w:val="center"/>
          </w:tcPr>
          <w:p>
            <w:pPr>
              <w:spacing w:after="20"/>
            </w:pPr>
            <w:r/>
            <w:r>
              <w:rPr>
                <w:b w:val="0"/>
              </w:rPr>
              <w:t>48%</w:t>
            </w:r>
          </w:p>
        </w:tc>
      </w:tr>
      <w:tr>
        <w:tc>
          <w:tcPr>
            <w:tcW w:type="dxa" w:w="3168"/>
            <w:vAlign w:val="center"/>
            <w:shd w:fill="F3F6FA"/>
          </w:tcPr>
          <w:p>
            <w:pPr>
              <w:spacing w:after="20"/>
            </w:pPr>
            <w:r/>
            <w:r>
              <w:rPr>
                <w:b w:val="0"/>
              </w:rPr>
              <w:t>Approval gap</w:t>
            </w:r>
          </w:p>
        </w:tc>
        <w:tc>
          <w:tcPr>
            <w:tcW w:type="dxa" w:w="7200"/>
            <w:vAlign w:val="center"/>
            <w:shd w:fill="F3F6FA"/>
          </w:tcPr>
          <w:p>
            <w:pPr>
              <w:spacing w:after="20"/>
            </w:pPr>
            <w:r/>
            <w:r>
              <w:rPr>
                <w:b w:val="0"/>
              </w:rPr>
              <w:t>-11 percentage points for flagged majority-Hispanic ZIP segments vs overall</w:t>
            </w:r>
          </w:p>
        </w:tc>
      </w:tr>
      <w:tr>
        <w:tc>
          <w:tcPr>
            <w:tcW w:type="dxa" w:w="3168"/>
            <w:vAlign w:val="center"/>
          </w:tcPr>
          <w:p>
            <w:pPr>
              <w:spacing w:after="20"/>
            </w:pPr>
            <w:r/>
            <w:r>
              <w:rPr>
                <w:b w:val="0"/>
              </w:rPr>
              <w:t>Bank aggregator change</w:t>
            </w:r>
          </w:p>
        </w:tc>
        <w:tc>
          <w:tcPr>
            <w:tcW w:type="dxa" w:w="7200"/>
            <w:vAlign w:val="center"/>
          </w:tcPr>
          <w:p>
            <w:pPr>
              <w:spacing w:after="20"/>
            </w:pPr>
            <w:r/>
            <w:r>
              <w:rPr>
                <w:b w:val="0"/>
              </w:rPr>
              <w:t>10 weeks ago; transaction category NULL rate now 22% vs less than 2% historically</w:t>
            </w:r>
          </w:p>
        </w:tc>
      </w:tr>
      <w:tr>
        <w:tc>
          <w:tcPr>
            <w:tcW w:type="dxa" w:w="3168"/>
            <w:vAlign w:val="center"/>
            <w:shd w:fill="F3F6FA"/>
          </w:tcPr>
          <w:p>
            <w:pPr>
              <w:spacing w:after="20"/>
            </w:pPr>
            <w:r/>
            <w:r>
              <w:rPr>
                <w:b w:val="0"/>
              </w:rPr>
              <w:t>Device risk score drift</w:t>
            </w:r>
          </w:p>
        </w:tc>
        <w:tc>
          <w:tcPr>
            <w:tcW w:type="dxa" w:w="7200"/>
            <w:vAlign w:val="center"/>
            <w:shd w:fill="F3F6FA"/>
          </w:tcPr>
          <w:p>
            <w:pPr>
              <w:spacing w:after="20"/>
            </w:pPr>
            <w:r/>
            <w:r>
              <w:rPr>
                <w:b w:val="0"/>
              </w:rPr>
              <w:t>Mean shifted from 0.31 to 0.44 after vendor update 9 weeks ago</w:t>
            </w:r>
          </w:p>
        </w:tc>
      </w:tr>
      <w:tr>
        <w:tc>
          <w:tcPr>
            <w:tcW w:type="dxa" w:w="3168"/>
            <w:vAlign w:val="center"/>
          </w:tcPr>
          <w:p>
            <w:pPr>
              <w:spacing w:after="20"/>
            </w:pPr>
            <w:r/>
            <w:r>
              <w:rPr>
                <w:b w:val="0"/>
              </w:rPr>
              <w:t>Model score PSI</w:t>
            </w:r>
          </w:p>
        </w:tc>
        <w:tc>
          <w:tcPr>
            <w:tcW w:type="dxa" w:w="7200"/>
            <w:vAlign w:val="center"/>
          </w:tcPr>
          <w:p>
            <w:pPr>
              <w:spacing w:after="20"/>
            </w:pPr>
            <w:r/>
            <w:r>
              <w:rPr>
                <w:b w:val="0"/>
              </w:rPr>
              <w:t>0.19, below 0.25 alert threshold</w:t>
            </w:r>
          </w:p>
        </w:tc>
      </w:tr>
      <w:tr>
        <w:tc>
          <w:tcPr>
            <w:tcW w:type="dxa" w:w="3168"/>
            <w:vAlign w:val="center"/>
            <w:shd w:fill="F3F6FA"/>
          </w:tcPr>
          <w:p>
            <w:pPr>
              <w:spacing w:after="20"/>
            </w:pPr>
            <w:r/>
            <w:r>
              <w:rPr>
                <w:b w:val="0"/>
              </w:rPr>
              <w:t>Last model retrain</w:t>
            </w:r>
          </w:p>
        </w:tc>
        <w:tc>
          <w:tcPr>
            <w:tcW w:type="dxa" w:w="7200"/>
            <w:vAlign w:val="center"/>
            <w:shd w:fill="F3F6FA"/>
          </w:tcPr>
          <w:p>
            <w:pPr>
              <w:spacing w:after="20"/>
            </w:pPr>
            <w:r/>
            <w:r>
              <w:rPr>
                <w:b w:val="0"/>
              </w:rPr>
              <w:t>11 months ago, on data from 2 years earlier</w:t>
            </w:r>
          </w:p>
        </w:tc>
      </w:tr>
      <w:tr>
        <w:tc>
          <w:tcPr>
            <w:tcW w:type="dxa" w:w="3168"/>
            <w:vAlign w:val="center"/>
          </w:tcPr>
          <w:p>
            <w:pPr>
              <w:spacing w:after="20"/>
            </w:pPr>
            <w:r/>
            <w:r>
              <w:rPr>
                <w:b w:val="0"/>
              </w:rPr>
              <w:t>Fairness monitoring</w:t>
            </w:r>
          </w:p>
        </w:tc>
        <w:tc>
          <w:tcPr>
            <w:tcW w:type="dxa" w:w="7200"/>
            <w:vAlign w:val="center"/>
          </w:tcPr>
          <w:p>
            <w:pPr>
              <w:spacing w:after="20"/>
            </w:pPr>
            <w:r/>
            <w:r>
              <w:rPr>
                <w:b w:val="0"/>
              </w:rPr>
              <w:t>None in production</w:t>
            </w:r>
          </w:p>
        </w:tc>
      </w:tr>
    </w:tbl>
    <w:p/>
    <w:p>
      <w:pPr>
        <w:pStyle w:val="Heading2"/>
      </w:pPr>
      <w:r>
        <w:t>Draft Assignment Responses</w:t>
      </w:r>
    </w:p>
    <w:p>
      <w:pPr>
        <w:pStyle w:val="Heading3"/>
      </w:pPr>
      <w:r>
        <w:t>1. Situation Summary</w:t>
      </w:r>
    </w:p>
    <w:p>
      <w:r>
        <w:t>CreditScoreV4 is showing both a performance degradation and a fairness risk. Historically the model had an AUC of 0.81, a loan approval rate of 42%, and early delinquency/default performance around 3.1%, but the recent cohort has dropped to 0.74 AUC, early delinquency has increased to 5.4%, and approval rate has drifted upward to 48% despite no threshold change. This suggests the model is approving more applicants while separating risk worse than before. At the same time, applicants from majority-Hispanic ZIP-code areas are seeing an approval rate 11 percentage points lower than the overall average, even after controlling for FICO and income. The top drivers appear to be bank_transaction_volatility and device_risk_score, which may be acting as proxy variables for geography, income patterns, or protected-class-related characteristics. The most urgent issue is that the model may currently be both riskier for the business and potentially discriminatory, so the production system needs immediate mitigation while the root causes are confirmed.</w:t>
      </w:r>
    </w:p>
    <w:p>
      <w:pPr>
        <w:pStyle w:val="Heading3"/>
      </w:pPr>
      <w:r>
        <w:t>2. Most Likely Primary Root Cause of Performance Drop</w:t>
      </w:r>
    </w:p>
    <w:tbl>
      <w:tblPr>
        <w:tblStyle w:val="TableGrid"/>
        <w:tblW w:type="auto" w:w="0"/>
        <w:tblLook w:firstColumn="1" w:firstRow="1" w:lastColumn="0" w:lastRow="0" w:noHBand="0" w:noVBand="1" w:val="04A0"/>
      </w:tblPr>
      <w:tblGrid>
        <w:gridCol w:w="10166"/>
      </w:tblGrid>
      <w:tr>
        <w:tc>
          <w:tcPr>
            <w:tcW w:type="dxa" w:w="10166"/>
            <w:shd w:fill="EAF2F8"/>
          </w:tcPr>
          <w:p>
            <w:r/>
            <w:r>
              <w:rPr>
                <w:b/>
                <w:color w:val="1F4E79"/>
              </w:rPr>
              <w:t xml:space="preserve">Recommended dropdown choice: </w:t>
            </w:r>
            <w:r>
              <w:t>Choose the option closest to upstream data / feature pipeline drift caused by the new bank-data aggregator and vendor feature change. If choices include data drift, input feature drift, upstream schema change, or feature pipeline bug, that is the best fit.</w:t>
            </w:r>
          </w:p>
        </w:tc>
      </w:tr>
    </w:tbl>
    <w:p/>
    <w:p>
      <w:pPr>
        <w:pStyle w:val="Heading3"/>
      </w:pPr>
      <w:r>
        <w:t>3. Root Cause Diagnosis - Detailed Reasoning</w:t>
      </w:r>
    </w:p>
    <w:p>
      <w:r>
        <w:t>The most likely root cause is a combination of upstream feature drift and stale model assumptions, rather than a simple threshold issue. The threshold stayed fixed at P(default) &lt; 0.18, but approval rate still increased from 42% to 48%, while AUC fell from 0.81 to 0.74 and early delinquency rose from 3.1% to 5.4%. That means the model score distribution or feature inputs changed in a way that made risk ranking less reliable.</w:t>
      </w:r>
    </w:p>
    <w:p>
      <w:r>
        <w:t>The bank-data aggregator replacement 10 weeks ago is a major suspect because transaction category NULL rates increased to 22%, compared with less than 2% historically. Since the feature pipeline imputes NULLs using the training-set median, many applicants may now receive artificial or misleading transaction-derived features. This can distort features such as bank_transaction_volatility, which is also one of the top SHAP contributors to declines in the flagged ZIP segments.</w:t>
      </w:r>
    </w:p>
    <w:p>
      <w:r>
        <w:t>The device_risk_score vendor update 9 weeks ago is another likely driver. Its mean shifted from 0.31 to 0.44 with a heavier right tail, and the feature drift table shows high drift for device_risk_score with PSI around 0.33. Because SHAP analysis shows device_risk_score contributes 2.3x more to declines in flagged ZIPs than baseline, it may be acting as a proxy for protected geography or socioeconomic patterns. I would confirm this by comparing feature distributions, missingness, SHAP values, approval rates, and error rates by segment before and after the aggregator and vendor changes.</w:t>
      </w:r>
    </w:p>
    <w:p>
      <w:pPr>
        <w:pStyle w:val="Heading3"/>
      </w:pPr>
      <w:r>
        <w:t>4. Why Monitoring Missed This</w:t>
      </w:r>
    </w:p>
    <w:p>
      <w:r>
        <w:t>Monitoring missed this because it focused too narrowly on overall score distribution PSI, approval rate, and lagged default reporting. The model score PSI was only 0.19, below the 0.25 alert threshold, so the system stayed green even though important individual features had already drifted heavily. For example, bank_transaction_volatility had PSI around 0.41 and device_risk_score had PSI around 0.33, both of which are more concerning than the overall model-score PSI.</w:t>
      </w:r>
    </w:p>
    <w:p>
      <w:r>
        <w:t>The monitoring stack also lacked input-feature monitoring, segment-level monitoring, and fairness metrics. That means the system did not catch that the model was behaving differently for majority-Hispanic ZIP-code areas. It also relied on default-rate reporting that lags by more than 60 days, so performance deterioration was detected late. In short, the monitoring looked at the model too broadly and too slowly, instead of watching the specific features and protected-proxy segments where the failure appeared first.</w:t>
      </w:r>
    </w:p>
    <w:p>
      <w:pPr>
        <w:pStyle w:val="Heading3"/>
      </w:pPr>
      <w:r>
        <w:t>5. Immediate Action: Recommended Dropdown and Written Response</w:t>
      </w:r>
    </w:p>
    <w:tbl>
      <w:tblPr>
        <w:tblStyle w:val="TableGrid"/>
        <w:tblW w:type="auto" w:w="0"/>
        <w:tblLook w:firstColumn="1" w:firstRow="1" w:lastColumn="0" w:lastRow="0" w:noHBand="0" w:noVBand="1" w:val="04A0"/>
      </w:tblPr>
      <w:tblGrid>
        <w:gridCol w:w="10166"/>
      </w:tblGrid>
      <w:tr>
        <w:tc>
          <w:tcPr>
            <w:tcW w:type="dxa" w:w="10166"/>
            <w:shd w:fill="EAF2F8"/>
          </w:tcPr>
          <w:p>
            <w:r/>
            <w:r>
              <w:rPr>
                <w:b/>
                <w:color w:val="1F4E79"/>
              </w:rPr>
              <w:t xml:space="preserve">Recommended dropdown choice: </w:t>
            </w:r>
            <w:r>
              <w:t>Disable the device_risk_score feature and serve a fallback model. This directly addresses the recent vendor update, the feature distribution shift from 0.31 to 0.44, high PSI around 0.33, and the 2.3x higher SHAP contribution to declines in flagged ZIPs.</w:t>
            </w:r>
          </w:p>
        </w:tc>
      </w:tr>
    </w:tbl>
    <w:p/>
    <w:p>
      <w:r>
        <w:t>In the next 24 hours, I would treat this as a production ML incident with both risk and compliance impact. I would disable or neutralize the device_risk_score feature because it had a recent vendor update, its mean shifted from 0.31 to 0.44, and it is contributing 2.3x more to declines in flagged ZIP segments. The system should serve a validated fallback model or fallback score path while Risk, Compliance, and Engineering investigate. I would also freeze upstream vendor and schema changes, audit the bank-aggregator NULL issue, and add manual review for borderline declines in the affected segments. I would avoid a blind segment-level threshold adjustment because that could create additional fairness and regulatory risk without validation.</w:t>
      </w:r>
    </w:p>
    <w:p>
      <w:pPr>
        <w:pStyle w:val="Heading3"/>
      </w:pPr>
      <w:r>
        <w:t>6. Fairness / Regulatory Risk Severity</w:t>
      </w:r>
    </w:p>
    <w:tbl>
      <w:tblPr>
        <w:tblStyle w:val="TableGrid"/>
        <w:tblW w:type="auto" w:w="0"/>
        <w:tblLook w:firstColumn="1" w:firstRow="1" w:lastColumn="0" w:lastRow="0" w:noHBand="0" w:noVBand="1" w:val="04A0"/>
      </w:tblPr>
      <w:tblGrid>
        <w:gridCol w:w="10166"/>
      </w:tblGrid>
      <w:tr>
        <w:tc>
          <w:tcPr>
            <w:tcW w:type="dxa" w:w="10166"/>
            <w:shd w:fill="EAF2F8"/>
          </w:tcPr>
          <w:p>
            <w:r/>
            <w:r>
              <w:rPr>
                <w:b/>
                <w:color w:val="1F4E79"/>
              </w:rPr>
              <w:t xml:space="preserve">Recommended rating: </w:t>
            </w:r>
            <w:r>
              <w:t>Choose 4 out of 5. The issue is serious because there is an external complaint, a protected-class proxy segment, and an 11 percentage point approval gap. Do not choose 5 unless confirmed illegal discrimination, active enforcement, or immediate shutdown-level harm is established.</w:t>
            </w:r>
          </w:p>
        </w:tc>
      </w:tr>
    </w:tbl>
    <w:p/>
    <w:p>
      <w:pPr>
        <w:pStyle w:val="Heading3"/>
      </w:pPr>
      <w:r>
        <w:t>7. Long-Term Modeling and Monitoring Pipeline Redesign</w:t>
      </w:r>
    </w:p>
    <w:p>
      <w:r>
        <w:t>Long term, I would redesign the pipeline around stronger drift, fairness, and vendor-change controls. The model should have feature-level drift monitoring, not just model-score PSI, because the score PSI was only 0.19 while individual features such as bank_transaction_volatility and device_risk_score had much higher drift. Monitoring should track missingness rates, schema changes, row counts, feature distributions, SHAP changes, segment-level AUC, approval rates, default rates, and fairness metrics such as approval gap, adverse impact ratio, and equal opportunity difference.</w:t>
      </w:r>
    </w:p>
    <w:p>
      <w:r>
        <w:t>I would also require pre-production validation for any bank aggregator or third-party vendor feature change. That validation should include backtesting, feature distribution comparison, NULL-rate checks, segment fairness analysis, and approval/default impact before release. The bank transaction category issue should be handled with better missingness logic, including missingness indicators and alerts when NULL rates move from historical levels below 2% to values like 22%. The model should also have a regular retraining or recalibration cadence with triggers based on drift, macroeconomic change, and performance degradation. Finally, I would maintain challenger models, documented rollback procedures, vendor SLAs, and an incident-response playbook so future model failures can be detected and contained earlier.</w:t>
      </w:r>
    </w:p>
    <w:p>
      <w:pPr>
        <w:pStyle w:val="Heading3"/>
      </w:pPr>
      <w:r>
        <w:t>8. Fairness Metrics to Add to Production Monitoring</w:t>
      </w:r>
    </w:p>
    <w:p>
      <w:r>
        <w:t>If the form allows multiple selections, select all six fairness metrics:</w:t>
      </w:r>
    </w:p>
    <w:p>
      <w:pPr>
        <w:pStyle w:val="ListBullet"/>
      </w:pPr>
      <w:r>
        <w:t>Demographic parity difference</w:t>
      </w:r>
    </w:p>
    <w:p>
      <w:pPr>
        <w:pStyle w:val="ListBullet"/>
      </w:pPr>
      <w:r>
        <w:t>Equal opportunity / TPR parity</w:t>
      </w:r>
    </w:p>
    <w:p>
      <w:pPr>
        <w:pStyle w:val="ListBullet"/>
      </w:pPr>
      <w:r>
        <w:t>Equalized odds / TPR + FPR parity</w:t>
      </w:r>
    </w:p>
    <w:p>
      <w:pPr>
        <w:pStyle w:val="ListBullet"/>
      </w:pPr>
      <w:r>
        <w:t>Calibration within groups</w:t>
      </w:r>
    </w:p>
    <w:p>
      <w:pPr>
        <w:pStyle w:val="ListBullet"/>
      </w:pPr>
      <w:r>
        <w:t>Disparate impact ratio / 4/5ths rule</w:t>
      </w:r>
    </w:p>
    <w:p>
      <w:pPr>
        <w:pStyle w:val="ListBullet"/>
      </w:pPr>
      <w:r>
        <w:t>Predictive parity / PPV parity</w:t>
      </w:r>
    </w:p>
    <w:p>
      <w:r>
        <w:t>In lending, monitoring should include both approval-rate fairness and risk-model performance fairness. Demographic parity and disparate impact catch approval gaps. Equal opportunity and equalized odds catch whether qualified borrowers are treated differently. Calibration and predictive parity check whether risk scores mean the same thing across groups.</w:t>
      </w:r>
    </w:p>
    <w:p>
      <w:pPr>
        <w:pStyle w:val="Heading3"/>
      </w:pPr>
      <w:r>
        <w:t>9. Executive Briefing</w:t>
      </w:r>
    </w:p>
    <w:p>
      <w:r>
        <w:t>CreditScoreV4 is experiencing a combined performance and fairness incident. Model AUC has declined from 0.81 to 0.74, early delinquency has increased from 3.1% to 5.4%, and approval rate has risen from 42% to 48% even though the approval threshold did not change. At the same time, applicants from majority-Hispanic ZIP-code areas are showing an 11 percentage point lower approval rate, and SHAP analysis indicates that device_risk_score and bank_transaction_volatility are major drivers.</w:t>
      </w:r>
    </w:p>
    <w:p>
      <w:r>
        <w:t>The most likely causes are upstream data and vendor drift. A new bank-data aggregator caused transaction category NULL rates to rise to 22%, while the pipeline still imputes these values using the training median. Separately, the device_risk_score vendor update shifted the score mean from 0.31 to 0.44 and appears to disproportionately affect flagged ZIP segments.</w:t>
      </w:r>
    </w:p>
    <w:p>
      <w:r>
        <w:t>Immediate action is to disable or neutralize the suspect device_risk_score feature, serve a validated fallback model, freeze vendor/schema changes, and route high-risk or fairness-sensitive cases to manual review. Longer term, we need feature-level drift monitoring, segment-level performance and fairness monitoring, vendor-change validation, retraining triggers, and a formal rollback playbook. Residual risk remains until we complete backtesting and compliance review.</w:t>
      </w:r>
    </w:p>
    <w:p>
      <w:pPr>
        <w:pStyle w:val="Heading3"/>
      </w:pPr>
      <w:r>
        <w:t>10. Confidence in Diagnosis and Plan</w:t>
      </w:r>
    </w:p>
    <w:tbl>
      <w:tblPr>
        <w:tblStyle w:val="TableGrid"/>
        <w:tblW w:type="auto" w:w="0"/>
        <w:tblLook w:firstColumn="1" w:firstRow="1" w:lastColumn="0" w:lastRow="0" w:noHBand="0" w:noVBand="1" w:val="04A0"/>
      </w:tblPr>
      <w:tblGrid>
        <w:gridCol w:w="10166"/>
      </w:tblGrid>
      <w:tr>
        <w:tc>
          <w:tcPr>
            <w:tcW w:type="dxa" w:w="10166"/>
            <w:shd w:fill="EAF2F8"/>
          </w:tcPr>
          <w:p>
            <w:r/>
            <w:r>
              <w:rPr>
                <w:b/>
                <w:color w:val="1F4E79"/>
              </w:rPr>
              <w:t xml:space="preserve">Recommended rating: </w:t>
            </w:r>
            <w:r>
              <w:t>Choose 4 out of 5. The evidence is strong because the timing of vendor/schema changes, PSI values, NULL spike, SHAP segment results, and KPI degradation align. Do not choose 5 because deeper validation and backtesting are still needed.</w:t>
            </w:r>
          </w:p>
        </w:tc>
      </w:tr>
    </w:tbl>
    <w:p/>
    <w:p>
      <w:pPr>
        <w:pStyle w:val="Heading1"/>
      </w:pPr>
      <w:r>
        <w:t>Reusable Phrases for ML Project Writeups</w:t>
      </w:r>
    </w:p>
    <w:p>
      <w:pPr>
        <w:pStyle w:val="ListBullet"/>
      </w:pPr>
      <w:r>
        <w:t>The validation design should mimic the production decision process, especially when time order matters.</w:t>
      </w:r>
    </w:p>
    <w:p>
      <w:pPr>
        <w:pStyle w:val="ListBullet"/>
      </w:pPr>
      <w:r>
        <w:t>The model can still predict reasonably while coefficient interpretability degrades because correlated predictors make individual coefficients unstable.</w:t>
      </w:r>
    </w:p>
    <w:p>
      <w:pPr>
        <w:pStyle w:val="ListBullet"/>
      </w:pPr>
      <w:r>
        <w:t>A drift metric alone is not enough; it should be paired with data lineage checks and business context.</w:t>
      </w:r>
    </w:p>
    <w:p>
      <w:pPr>
        <w:pStyle w:val="ListBullet"/>
      </w:pPr>
      <w:r>
        <w:t>Late-arriving data should be explicit, tracked, and handled through correction or backfill logic rather than silently changing past metrics.</w:t>
      </w:r>
    </w:p>
    <w:p>
      <w:pPr>
        <w:pStyle w:val="ListBullet"/>
      </w:pPr>
      <w:r>
        <w:t>A robust monitoring stack should watch input features, score distributions, segment-level outcomes, fairness metrics, and delayed labels.</w:t>
      </w:r>
    </w:p>
    <w:p>
      <w:pPr>
        <w:pStyle w:val="ListBullet"/>
      </w:pPr>
      <w:r>
        <w:t>For missingness, the issue is not just imputation accuracy; missingness itself may carry signal or reveal a pipeline failure.</w:t>
      </w:r>
    </w:p>
    <w:p>
      <w:pPr>
        <w:pStyle w:val="ListBullet"/>
      </w:pPr>
      <w:r>
        <w:t>A model incident should have clear rollback criteria, feature disablement procedures, manual review fallbacks, and compliance signoff.</w:t>
      </w:r>
    </w:p>
    <w:p>
      <w:pPr>
        <w:jc w:val="center"/>
      </w:pPr>
      <w:r>
        <w:rPr>
          <w:i/>
          <w:color w:val="787878"/>
        </w:rPr>
        <w:t>End of notes</w:t>
      </w:r>
    </w:p>
    <w:sectPr w:rsidR="00FC693F" w:rsidRPr="0006063C" w:rsidSect="00034616">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4" w:lineRule="auto"/>
    </w:pPr>
    <w:rPr>
      <w:rFonts w:ascii="Aptos" w:hAnsi="Aptos" w:eastAsia="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80"/>
      <w:outlineLvl w:val="0"/>
    </w:pPr>
    <w:rPr>
      <w:rFonts w:asciiTheme="majorHAnsi" w:eastAsiaTheme="majorEastAsia" w:hAnsiTheme="majorHAnsi" w:cstheme="majorBidi" w:ascii="Aptos Display" w:hAnsi="Aptos Display" w:eastAsia="Aptos Display"/>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Aptos" w:hAnsi="Aptos" w:eastAsia="Aptos"/>
      <w:b/>
      <w:bCs/>
      <w:color w:val="2F5597"/>
      <w:sz w:val="24"/>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ptos" w:hAnsi="Aptos" w:eastAsia="Aptos"/>
      <w:b/>
      <w:bCs/>
      <w:color w:val="385723"/>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80" w:line="240" w:lineRule="auto" w:before="0"/>
      <w:contextualSpacing/>
    </w:pPr>
    <w:rPr>
      <w:rFonts w:asciiTheme="majorHAnsi" w:eastAsiaTheme="majorEastAsia" w:hAnsiTheme="majorHAnsi" w:cstheme="majorBidi" w:ascii="Aptos Display" w:hAnsi="Aptos Display" w:eastAsia="Aptos Display"/>
      <w:b/>
      <w:color w:val="1F4E79"/>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40" w:after="100"/>
      <w:ind w:left="259" w:right="144"/>
    </w:pPr>
    <w:rPr>
      <w:rFonts w:ascii="Consolas" w:hAnsi="Consolas" w:eastAsia="Consolas"/>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