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Display" w:hAnsi="Aptos Display"/>
          <w:b/>
          <w:color w:val="123447"/>
          <w:sz w:val="42"/>
        </w:rPr>
        <w:t>Alaska North Slope Wireline ML Classification Methods Draft</w:t>
      </w:r>
    </w:p>
    <w:p>
      <w:pPr>
        <w:spacing w:after="200"/>
      </w:pPr>
      <w:r>
        <w:rPr>
          <w:rFonts w:ascii="Aptos" w:hAnsi="Aptos"/>
          <w:color w:val="556B73"/>
          <w:sz w:val="21"/>
        </w:rPr>
        <w:t>Unclassified scaffold for future approved well-log and core data: variables to equations to staged classification to ML outputs</w:t>
      </w:r>
    </w:p>
    <w:tbl>
      <w:tblPr>
        <w:tblStyle w:val="TableGrid"/>
        <w:tblW w:type="auto" w:w="0"/>
        <w:tblLook w:firstColumn="1" w:firstRow="1" w:lastColumn="0" w:lastRow="0" w:noHBand="0" w:noVBand="1" w:val="04A0"/>
        <w:tblBorders>
          <w:top w:val="single" w:sz="4" w:space="0" w:color="D2C8B8"/>
          <w:left w:val="single" w:sz="4" w:space="0" w:color="D2C8B8"/>
          <w:bottom w:val="single" w:sz="4" w:space="0" w:color="D2C8B8"/>
          <w:right w:val="single" w:sz="4" w:space="0" w:color="D2C8B8"/>
          <w:insideH w:val="single" w:sz="4" w:space="0" w:color="D2C8B8"/>
          <w:insideV w:val="single" w:sz="4" w:space="0" w:color="D2C8B8"/>
        </w:tblBorders>
      </w:tblPr>
      <w:tblGrid>
        <w:gridCol w:w="9936"/>
      </w:tblGrid>
      <w:tr>
        <w:tc>
          <w:tcPr>
            <w:tcW w:type="dxa" w:w="9936"/>
            <w:shd w:fill="F4EFE6"/>
            <w:tcMar>
              <w:top w:w="120" w:type="dxa"/>
              <w:start w:w="160" w:type="dxa"/>
              <w:bottom w:w="120" w:type="dxa"/>
              <w:end w:w="160" w:type="dxa"/>
            </w:tcMar>
          </w:tcPr>
          <w:p>
            <w:pPr>
              <w:spacing w:after="0"/>
            </w:pPr>
            <w:r/>
            <w:r>
              <w:rPr>
                <w:rFonts w:ascii="Aptos" w:hAnsi="Aptos"/>
                <w:b/>
                <w:color w:val="123447"/>
                <w:sz w:val="19"/>
              </w:rPr>
              <w:t xml:space="preserve">Boundary: </w:t>
            </w:r>
            <w:r>
              <w:rPr>
                <w:rFonts w:ascii="Aptos" w:hAnsi="Aptos"/>
                <w:color w:val="1F2933"/>
                <w:sz w:val="19"/>
              </w:rPr>
              <w:t>This document is a public-source planning and methods scaffold. It contains no classified or restricted well logs, core measurements, identifiers, populated results, or derived sensitive outputs. Future approved data must remain in the authorized runtime environment.</w:t>
            </w:r>
          </w:p>
        </w:tc>
      </w:tr>
    </w:tbl>
    <w:p/>
    <w:p>
      <w:pPr>
        <w:pStyle w:val="Heading1"/>
        <w:spacing w:before="280" w:after="100"/>
      </w:pPr>
      <w:r>
        <w:rPr>
          <w:rFonts w:ascii="Aptos Display" w:hAnsi="Aptos Display"/>
          <w:color w:val="123447"/>
        </w:rPr>
        <w:t>Abstract</w:t>
      </w:r>
    </w:p>
    <w:p>
      <w:pPr>
        <w:spacing w:after="120" w:line="269" w:lineRule="auto"/>
      </w:pPr>
      <w:r>
        <w:rPr>
          <w:rFonts w:ascii="Aptos" w:hAnsi="Aptos"/>
          <w:color w:val="1F2933"/>
          <w:sz w:val="20"/>
        </w:rPr>
        <w:t>This draft reframes the Alaska North Slope gas hydrate project as a physics-constrained wireline machine-learning workflow. The purpose is not to restate general gas hydrate geology, but to define how future approved well logs and core observations will be converted into interpretable features, staged hydrate evidence, uncertainty labels, producibility screens, and presentation-ready results. The working hypothesis is that hydrate classification requires six separable decisions: data quality, pressure-temperature admissibility, reservoir quality, multi-log phase evidence, competing rock-type explanations, and producibility risk. The scaffold therefore treats every sweet spot as conditional: a variable range is useful only when the supporting curves, rock type, overburden/stress context, and calibration evidence agree.</w:t>
      </w:r>
    </w:p>
    <w:p>
      <w:pPr>
        <w:pStyle w:val="Heading1"/>
        <w:spacing w:before="280" w:after="100"/>
      </w:pPr>
      <w:r>
        <w:rPr>
          <w:rFonts w:ascii="Aptos Display" w:hAnsi="Aptos Display"/>
          <w:color w:val="123447"/>
        </w:rPr>
        <w:t>1. Project Direction</w:t>
      </w:r>
    </w:p>
    <w:p>
      <w:pPr>
        <w:spacing w:after="120" w:line="269" w:lineRule="auto"/>
      </w:pPr>
      <w:r>
        <w:rPr>
          <w:rFonts w:ascii="Aptos" w:hAnsi="Aptos"/>
          <w:color w:val="1F2933"/>
          <w:sz w:val="20"/>
        </w:rPr>
        <w:t>The earlier manuscript is best treated as a source accumulation and scientific synthesis. This new direction is a methods paper and dashboard specification for a future real-data project. Its central chain is: measured curves -&gt; derived equations -&gt; physical variables -&gt; staged interpretation gates -&gt; ML features -&gt; interval classifications -&gt; results and discussion.</w:t>
      </w:r>
    </w:p>
    <w:p>
      <w:pPr>
        <w:pStyle w:val="ListBullet"/>
        <w:spacing w:after="60"/>
      </w:pPr>
      <w:r>
        <w:rPr>
          <w:rFonts w:ascii="Aptos" w:hAnsi="Aptos"/>
          <w:sz w:val="20"/>
        </w:rPr>
        <w:t>Primary task: classify hydrate-supportive, gas-supportive, water-bearing, non-reservoir, and expert-review intervals from approved wireline and core data.</w:t>
      </w:r>
    </w:p>
    <w:p>
      <w:pPr>
        <w:pStyle w:val="ListBullet"/>
        <w:spacing w:after="60"/>
      </w:pPr>
      <w:r>
        <w:rPr>
          <w:rFonts w:ascii="Aptos" w:hAnsi="Aptos"/>
          <w:sz w:val="20"/>
        </w:rPr>
        <w:t>Secondary task: rank candidate sweet spots without confusing hydrate detectability, hydrate saturation, and producibility.</w:t>
      </w:r>
    </w:p>
    <w:p>
      <w:pPr>
        <w:pStyle w:val="ListBullet"/>
        <w:spacing w:after="60"/>
      </w:pPr>
      <w:r>
        <w:rPr>
          <w:rFonts w:ascii="Aptos" w:hAnsi="Aptos"/>
          <w:sz w:val="20"/>
        </w:rPr>
        <w:t>Scientific control: every range must carry its physical reason, competing explanations, and required supporting evidence.</w:t>
      </w:r>
    </w:p>
    <w:p>
      <w:pPr>
        <w:pStyle w:val="ListBullet"/>
        <w:spacing w:after="60"/>
      </w:pPr>
      <w:r>
        <w:rPr>
          <w:rFonts w:ascii="Aptos" w:hAnsi="Aptos"/>
          <w:sz w:val="20"/>
        </w:rPr>
        <w:t>ML control: features should be grouped by well and geology so validation does not leak depth-adjacent samples between training and testing.</w:t>
      </w:r>
    </w:p>
    <w:p>
      <w:pPr>
        <w:pStyle w:val="Heading1"/>
        <w:spacing w:before="280" w:after="100"/>
      </w:pPr>
      <w:r>
        <w:rPr>
          <w:rFonts w:ascii="Aptos Display" w:hAnsi="Aptos Display"/>
          <w:color w:val="123447"/>
        </w:rPr>
        <w:t>2. Measurement Families and Runtime Inputs</w:t>
      </w:r>
    </w:p>
    <w:tbl>
      <w:tblPr>
        <w:tblStyle w:val="TableGrid"/>
        <w:tblW w:type="auto" w:w="0"/>
        <w:tblLayout w:type="fixed"/>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2484"/>
        <w:gridCol w:w="2484"/>
        <w:gridCol w:w="2484"/>
        <w:gridCol w:w="2484"/>
      </w:tblGrid>
      <w:tr>
        <w:tc>
          <w:tcPr>
            <w:tcW w:type="dxa" w:w="1512"/>
            <w:vAlign w:val="center"/>
            <w:tcMar>
              <w:top w:w="80" w:type="dxa"/>
              <w:start w:w="120" w:type="dxa"/>
              <w:bottom w:w="80" w:type="dxa"/>
              <w:end w:w="120" w:type="dxa"/>
            </w:tcMar>
            <w:shd w:fill="167D8D"/>
          </w:tcPr>
          <w:p>
            <w:pPr>
              <w:spacing w:after="0" w:line="252" w:lineRule="auto"/>
            </w:pPr>
            <w:r/>
            <w:r>
              <w:rPr>
                <w:rFonts w:ascii="Aptos" w:hAnsi="Aptos"/>
                <w:b/>
                <w:color w:val="FFFFFF"/>
                <w:sz w:val="16"/>
              </w:rPr>
              <w:t>Family</w:t>
            </w:r>
          </w:p>
        </w:tc>
        <w:tc>
          <w:tcPr>
            <w:tcW w:type="dxa" w:w="2232"/>
            <w:vAlign w:val="center"/>
            <w:tcMar>
              <w:top w:w="80" w:type="dxa"/>
              <w:start w:w="120" w:type="dxa"/>
              <w:bottom w:w="80" w:type="dxa"/>
              <w:end w:w="120" w:type="dxa"/>
            </w:tcMar>
            <w:shd w:fill="167D8D"/>
          </w:tcPr>
          <w:p>
            <w:pPr>
              <w:spacing w:after="0" w:line="252" w:lineRule="auto"/>
            </w:pPr>
            <w:r/>
            <w:r>
              <w:rPr>
                <w:rFonts w:ascii="Aptos" w:hAnsi="Aptos"/>
                <w:b/>
                <w:color w:val="FFFFFF"/>
                <w:sz w:val="16"/>
              </w:rPr>
              <w:t>Measured inputs</w:t>
            </w:r>
          </w:p>
        </w:tc>
        <w:tc>
          <w:tcPr>
            <w:tcW w:type="dxa" w:w="3384"/>
            <w:vAlign w:val="center"/>
            <w:tcMar>
              <w:top w:w="80" w:type="dxa"/>
              <w:start w:w="120" w:type="dxa"/>
              <w:bottom w:w="80" w:type="dxa"/>
              <w:end w:w="120" w:type="dxa"/>
            </w:tcMar>
            <w:shd w:fill="167D8D"/>
          </w:tcPr>
          <w:p>
            <w:pPr>
              <w:spacing w:after="0" w:line="252" w:lineRule="auto"/>
            </w:pPr>
            <w:r/>
            <w:r>
              <w:rPr>
                <w:rFonts w:ascii="Aptos" w:hAnsi="Aptos"/>
                <w:b/>
                <w:color w:val="FFFFFF"/>
                <w:sz w:val="16"/>
              </w:rPr>
              <w:t>Derived features</w:t>
            </w:r>
          </w:p>
        </w:tc>
        <w:tc>
          <w:tcPr>
            <w:tcW w:type="dxa" w:w="3384"/>
            <w:vAlign w:val="center"/>
            <w:tcMar>
              <w:top w:w="80" w:type="dxa"/>
              <w:start w:w="120" w:type="dxa"/>
              <w:bottom w:w="80" w:type="dxa"/>
              <w:end w:w="120" w:type="dxa"/>
            </w:tcMar>
            <w:shd w:fill="167D8D"/>
          </w:tcPr>
          <w:p>
            <w:pPr>
              <w:spacing w:after="0" w:line="252" w:lineRule="auto"/>
            </w:pPr>
            <w:r/>
            <w:r>
              <w:rPr>
                <w:rFonts w:ascii="Aptos" w:hAnsi="Aptos"/>
                <w:b/>
                <w:color w:val="FFFFFF"/>
                <w:sz w:val="16"/>
              </w:rPr>
              <w:t>Decision role</w:t>
            </w:r>
          </w:p>
        </w:tc>
      </w:tr>
      <w:tr>
        <w:tc>
          <w:tcPr>
            <w:tcW w:type="dxa" w:w="2484"/>
          </w:tcPr>
          <w:p>
            <w:pPr>
              <w:spacing w:after="0" w:line="252" w:lineRule="auto"/>
            </w:pPr>
            <w:r/>
            <w:r>
              <w:rPr>
                <w:rFonts w:ascii="Aptos" w:hAnsi="Aptos"/>
                <w:b w:val="0"/>
                <w:color w:val="1F2933"/>
                <w:sz w:val="16"/>
              </w:rPr>
              <w:t>Lithology</w:t>
            </w:r>
          </w:p>
        </w:tc>
        <w:tc>
          <w:tcPr>
            <w:tcW w:type="dxa" w:w="2484"/>
          </w:tcPr>
          <w:p>
            <w:pPr>
              <w:spacing w:after="0" w:line="252" w:lineRule="auto"/>
            </w:pPr>
            <w:r/>
            <w:r>
              <w:rPr>
                <w:rFonts w:ascii="Aptos" w:hAnsi="Aptos"/>
                <w:b w:val="0"/>
                <w:color w:val="1F2933"/>
                <w:sz w:val="16"/>
              </w:rPr>
              <w:t>GR, optional mineralogy/core</w:t>
            </w:r>
          </w:p>
        </w:tc>
        <w:tc>
          <w:tcPr>
            <w:tcW w:type="dxa" w:w="2484"/>
          </w:tcPr>
          <w:p>
            <w:pPr>
              <w:spacing w:after="0" w:line="252" w:lineRule="auto"/>
            </w:pPr>
            <w:r/>
            <w:r>
              <w:rPr>
                <w:rFonts w:ascii="Aptos" w:hAnsi="Aptos"/>
                <w:b w:val="0"/>
                <w:color w:val="1F2933"/>
                <w:sz w:val="16"/>
              </w:rPr>
              <w:t>Vsh, clean-sand flag, rock-type screen</w:t>
            </w:r>
          </w:p>
        </w:tc>
        <w:tc>
          <w:tcPr>
            <w:tcW w:type="dxa" w:w="2484"/>
          </w:tcPr>
          <w:p>
            <w:pPr>
              <w:spacing w:after="0" w:line="252" w:lineRule="auto"/>
            </w:pPr>
            <w:r/>
            <w:r>
              <w:rPr>
                <w:rFonts w:ascii="Aptos" w:hAnsi="Aptos"/>
                <w:b w:val="0"/>
                <w:color w:val="1F2933"/>
                <w:sz w:val="16"/>
              </w:rPr>
              <w:t>Defines whether a positive response is in plausible reservoir rock.</w:t>
            </w:r>
          </w:p>
        </w:tc>
      </w:tr>
      <w:tr>
        <w:tc>
          <w:tcPr>
            <w:tcW w:type="dxa" w:w="2484"/>
          </w:tcPr>
          <w:p>
            <w:pPr>
              <w:spacing w:after="0" w:line="252" w:lineRule="auto"/>
            </w:pPr>
            <w:r/>
            <w:r>
              <w:rPr>
                <w:rFonts w:ascii="Aptos" w:hAnsi="Aptos"/>
                <w:b w:val="0"/>
                <w:color w:val="1F2933"/>
                <w:sz w:val="16"/>
              </w:rPr>
              <w:t>Electrical</w:t>
            </w:r>
          </w:p>
        </w:tc>
        <w:tc>
          <w:tcPr>
            <w:tcW w:type="dxa" w:w="2484"/>
          </w:tcPr>
          <w:p>
            <w:pPr>
              <w:spacing w:after="0" w:line="252" w:lineRule="auto"/>
            </w:pPr>
            <w:r/>
            <w:r>
              <w:rPr>
                <w:rFonts w:ascii="Aptos" w:hAnsi="Aptos"/>
                <w:b w:val="0"/>
                <w:color w:val="1F2933"/>
                <w:sz w:val="16"/>
              </w:rPr>
              <w:t>Rt, Rw/calibration if available</w:t>
            </w:r>
          </w:p>
        </w:tc>
        <w:tc>
          <w:tcPr>
            <w:tcW w:type="dxa" w:w="2484"/>
          </w:tcPr>
          <w:p>
            <w:pPr>
              <w:spacing w:after="0" w:line="252" w:lineRule="auto"/>
            </w:pPr>
            <w:r/>
            <w:r>
              <w:rPr>
                <w:rFonts w:ascii="Aptos" w:hAnsi="Aptos"/>
                <w:b w:val="0"/>
                <w:color w:val="1F2933"/>
                <w:sz w:val="16"/>
              </w:rPr>
              <w:t>Archie hydrate proxy</w:t>
            </w:r>
          </w:p>
        </w:tc>
        <w:tc>
          <w:tcPr>
            <w:tcW w:type="dxa" w:w="2484"/>
          </w:tcPr>
          <w:p>
            <w:pPr>
              <w:spacing w:after="0" w:line="252" w:lineRule="auto"/>
            </w:pPr>
            <w:r/>
            <w:r>
              <w:rPr>
                <w:rFonts w:ascii="Aptos" w:hAnsi="Aptos"/>
                <w:b w:val="0"/>
                <w:color w:val="1F2933"/>
                <w:sz w:val="16"/>
              </w:rPr>
              <w:t>Hydrate can raise resistivity by reducing connected brine pathways, but gas, ice, coal, and low porosity can also raise Rt.</w:t>
            </w:r>
          </w:p>
        </w:tc>
      </w:tr>
      <w:tr>
        <w:tc>
          <w:tcPr>
            <w:tcW w:type="dxa" w:w="2484"/>
          </w:tcPr>
          <w:p>
            <w:pPr>
              <w:spacing w:after="0" w:line="252" w:lineRule="auto"/>
            </w:pPr>
            <w:r/>
            <w:r>
              <w:rPr>
                <w:rFonts w:ascii="Aptos" w:hAnsi="Aptos"/>
                <w:b w:val="0"/>
                <w:color w:val="1F2933"/>
                <w:sz w:val="16"/>
              </w:rPr>
              <w:t>Density/porosity</w:t>
            </w:r>
          </w:p>
        </w:tc>
        <w:tc>
          <w:tcPr>
            <w:tcW w:type="dxa" w:w="2484"/>
          </w:tcPr>
          <w:p>
            <w:pPr>
              <w:spacing w:after="0" w:line="252" w:lineRule="auto"/>
            </w:pPr>
            <w:r/>
            <w:r>
              <w:rPr>
                <w:rFonts w:ascii="Aptos" w:hAnsi="Aptos"/>
                <w:b w:val="0"/>
                <w:color w:val="1F2933"/>
                <w:sz w:val="16"/>
              </w:rPr>
              <w:t>RHOB, NPHI, matrix/fluid assumptions</w:t>
            </w:r>
          </w:p>
        </w:tc>
        <w:tc>
          <w:tcPr>
            <w:tcW w:type="dxa" w:w="2484"/>
          </w:tcPr>
          <w:p>
            <w:pPr>
              <w:spacing w:after="0" w:line="252" w:lineRule="auto"/>
            </w:pPr>
            <w:r/>
            <w:r>
              <w:rPr>
                <w:rFonts w:ascii="Aptos" w:hAnsi="Aptos"/>
                <w:b w:val="0"/>
                <w:color w:val="1F2933"/>
                <w:sz w:val="16"/>
              </w:rPr>
              <w:t>Density porosity, storage capacity, density QC</w:t>
            </w:r>
          </w:p>
        </w:tc>
        <w:tc>
          <w:tcPr>
            <w:tcW w:type="dxa" w:w="2484"/>
          </w:tcPr>
          <w:p>
            <w:pPr>
              <w:spacing w:after="0" w:line="252" w:lineRule="auto"/>
            </w:pPr>
            <w:r/>
            <w:r>
              <w:rPr>
                <w:rFonts w:ascii="Aptos" w:hAnsi="Aptos"/>
                <w:b w:val="0"/>
                <w:color w:val="1F2933"/>
                <w:sz w:val="16"/>
              </w:rPr>
              <w:t>Separates pore-volume capacity from hydrate occupancy.</w:t>
            </w:r>
          </w:p>
        </w:tc>
      </w:tr>
      <w:tr>
        <w:tc>
          <w:tcPr>
            <w:tcW w:type="dxa" w:w="2484"/>
          </w:tcPr>
          <w:p>
            <w:pPr>
              <w:spacing w:after="0" w:line="252" w:lineRule="auto"/>
            </w:pPr>
            <w:r/>
            <w:r>
              <w:rPr>
                <w:rFonts w:ascii="Aptos" w:hAnsi="Aptos"/>
                <w:b w:val="0"/>
                <w:color w:val="1F2933"/>
                <w:sz w:val="16"/>
              </w:rPr>
              <w:t>Sonic/elastic</w:t>
            </w:r>
          </w:p>
        </w:tc>
        <w:tc>
          <w:tcPr>
            <w:tcW w:type="dxa" w:w="2484"/>
          </w:tcPr>
          <w:p>
            <w:pPr>
              <w:spacing w:after="0" w:line="252" w:lineRule="auto"/>
            </w:pPr>
            <w:r/>
            <w:r>
              <w:rPr>
                <w:rFonts w:ascii="Aptos" w:hAnsi="Aptos"/>
                <w:b w:val="0"/>
                <w:color w:val="1F2933"/>
                <w:sz w:val="16"/>
              </w:rPr>
              <w:t>DT, DTS, RHOB</w:t>
            </w:r>
          </w:p>
        </w:tc>
        <w:tc>
          <w:tcPr>
            <w:tcW w:type="dxa" w:w="2484"/>
          </w:tcPr>
          <w:p>
            <w:pPr>
              <w:spacing w:after="0" w:line="252" w:lineRule="auto"/>
            </w:pPr>
            <w:r/>
            <w:r>
              <w:rPr>
                <w:rFonts w:ascii="Aptos" w:hAnsi="Aptos"/>
                <w:b w:val="0"/>
                <w:color w:val="1F2933"/>
                <w:sz w:val="16"/>
              </w:rPr>
              <w:t>Vp, Vs, Vp/Vs, G, K, lambda-rho, mu-rho, Poisson ratio, Young's modulus</w:t>
            </w:r>
          </w:p>
        </w:tc>
        <w:tc>
          <w:tcPr>
            <w:tcW w:type="dxa" w:w="2484"/>
          </w:tcPr>
          <w:p>
            <w:pPr>
              <w:spacing w:after="0" w:line="252" w:lineRule="auto"/>
            </w:pPr>
            <w:r/>
            <w:r>
              <w:rPr>
                <w:rFonts w:ascii="Aptos" w:hAnsi="Aptos"/>
                <w:b w:val="0"/>
                <w:color w:val="1F2933"/>
                <w:sz w:val="16"/>
              </w:rPr>
              <w:t>Tests whether high Rt is accompanied by hydrate/ice/competent-rock stiffness or gas-like softening.</w:t>
            </w:r>
          </w:p>
        </w:tc>
      </w:tr>
      <w:tr>
        <w:tc>
          <w:tcPr>
            <w:tcW w:type="dxa" w:w="2484"/>
          </w:tcPr>
          <w:p>
            <w:pPr>
              <w:spacing w:after="0" w:line="252" w:lineRule="auto"/>
            </w:pPr>
            <w:r/>
            <w:r>
              <w:rPr>
                <w:rFonts w:ascii="Aptos" w:hAnsi="Aptos"/>
                <w:b w:val="0"/>
                <w:color w:val="1F2933"/>
                <w:sz w:val="16"/>
              </w:rPr>
              <w:t>NMR/core</w:t>
            </w:r>
          </w:p>
        </w:tc>
        <w:tc>
          <w:tcPr>
            <w:tcW w:type="dxa" w:w="2484"/>
          </w:tcPr>
          <w:p>
            <w:pPr>
              <w:spacing w:after="0" w:line="252" w:lineRule="auto"/>
            </w:pPr>
            <w:r/>
            <w:r>
              <w:rPr>
                <w:rFonts w:ascii="Aptos" w:hAnsi="Aptos"/>
                <w:b w:val="0"/>
                <w:color w:val="1F2933"/>
                <w:sz w:val="16"/>
              </w:rPr>
              <w:t>NMR porosity, core porosity/saturation, pressure-core quality</w:t>
            </w:r>
          </w:p>
        </w:tc>
        <w:tc>
          <w:tcPr>
            <w:tcW w:type="dxa" w:w="2484"/>
          </w:tcPr>
          <w:p>
            <w:pPr>
              <w:spacing w:after="0" w:line="252" w:lineRule="auto"/>
            </w:pPr>
            <w:r/>
            <w:r>
              <w:rPr>
                <w:rFonts w:ascii="Aptos" w:hAnsi="Aptos"/>
                <w:b w:val="0"/>
                <w:color w:val="1F2933"/>
                <w:sz w:val="16"/>
              </w:rPr>
              <w:t>NMR-density hydrate proxy, confidence weights</w:t>
            </w:r>
          </w:p>
        </w:tc>
        <w:tc>
          <w:tcPr>
            <w:tcW w:type="dxa" w:w="2484"/>
          </w:tcPr>
          <w:p>
            <w:pPr>
              <w:spacing w:after="0" w:line="252" w:lineRule="auto"/>
            </w:pPr>
            <w:r/>
            <w:r>
              <w:rPr>
                <w:rFonts w:ascii="Aptos" w:hAnsi="Aptos"/>
                <w:b w:val="0"/>
                <w:color w:val="1F2933"/>
                <w:sz w:val="16"/>
              </w:rPr>
              <w:t>Preferred calibration path where available; preserves depth-match uncertainty.</w:t>
            </w:r>
          </w:p>
        </w:tc>
      </w:tr>
      <w:tr>
        <w:tc>
          <w:tcPr>
            <w:tcW w:type="dxa" w:w="2484"/>
          </w:tcPr>
          <w:p>
            <w:pPr>
              <w:spacing w:after="0" w:line="252" w:lineRule="auto"/>
            </w:pPr>
            <w:r/>
            <w:r>
              <w:rPr>
                <w:rFonts w:ascii="Aptos" w:hAnsi="Aptos"/>
                <w:b w:val="0"/>
                <w:color w:val="1F2933"/>
                <w:sz w:val="16"/>
              </w:rPr>
              <w:t>Thermal/stress</w:t>
            </w:r>
          </w:p>
        </w:tc>
        <w:tc>
          <w:tcPr>
            <w:tcW w:type="dxa" w:w="2484"/>
          </w:tcPr>
          <w:p>
            <w:pPr>
              <w:spacing w:after="0" w:line="252" w:lineRule="auto"/>
            </w:pPr>
            <w:r/>
            <w:r>
              <w:rPr>
                <w:rFonts w:ascii="Aptos" w:hAnsi="Aptos"/>
                <w:b w:val="0"/>
                <w:color w:val="1F2933"/>
                <w:sz w:val="16"/>
              </w:rPr>
              <w:t>Depth, temperature gradient, pressure, overburden gradient</w:t>
            </w:r>
          </w:p>
        </w:tc>
        <w:tc>
          <w:tcPr>
            <w:tcW w:type="dxa" w:w="2484"/>
          </w:tcPr>
          <w:p>
            <w:pPr>
              <w:spacing w:after="0" w:line="252" w:lineRule="auto"/>
            </w:pPr>
            <w:r/>
            <w:r>
              <w:rPr>
                <w:rFonts w:ascii="Aptos" w:hAnsi="Aptos"/>
                <w:b w:val="0"/>
                <w:color w:val="1F2933"/>
                <w:sz w:val="16"/>
              </w:rPr>
              <w:t>GHSZ admissibility, vertical stress, effective stress</w:t>
            </w:r>
          </w:p>
        </w:tc>
        <w:tc>
          <w:tcPr>
            <w:tcW w:type="dxa" w:w="2484"/>
          </w:tcPr>
          <w:p>
            <w:pPr>
              <w:spacing w:after="0" w:line="252" w:lineRule="auto"/>
            </w:pPr>
            <w:r/>
            <w:r>
              <w:rPr>
                <w:rFonts w:ascii="Aptos" w:hAnsi="Aptos"/>
                <w:b w:val="0"/>
                <w:color w:val="1F2933"/>
                <w:sz w:val="16"/>
              </w:rPr>
              <w:t>Hydrate must be stable, and stress changes velocity/porosity interpretation.</w:t>
            </w:r>
          </w:p>
        </w:tc>
      </w:tr>
    </w:tbl>
    <w:p/>
    <w:p>
      <w:pPr>
        <w:pStyle w:val="Heading1"/>
        <w:spacing w:before="280" w:after="100"/>
      </w:pPr>
      <w:r>
        <w:rPr>
          <w:rFonts w:ascii="Aptos Display" w:hAnsi="Aptos Display"/>
          <w:color w:val="123447"/>
        </w:rPr>
        <w:t>3. Equation Library</w:t>
      </w:r>
    </w:p>
    <w:p>
      <w:pPr>
        <w:spacing w:after="120" w:line="269" w:lineRule="auto"/>
      </w:pPr>
      <w:r>
        <w:rPr>
          <w:rFonts w:ascii="Aptos" w:hAnsi="Aptos"/>
          <w:color w:val="1F2933"/>
          <w:sz w:val="20"/>
        </w:rPr>
        <w:t>The equation library below is the minimum mathematical scaffold to represent the future wellbore workflow. The equations are not final field calibrations; they are traceable transforms that define what the dashboard and model should calculate once approved data are available.</w:t>
      </w:r>
    </w:p>
    <w:tbl>
      <w:tblPr>
        <w:tblStyle w:val="TableGrid"/>
        <w:tblW w:type="auto" w:w="0"/>
        <w:tblLayout w:type="fixed"/>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2484"/>
        <w:gridCol w:w="2484"/>
        <w:gridCol w:w="2484"/>
        <w:gridCol w:w="2484"/>
      </w:tblGrid>
      <w:tr>
        <w:tc>
          <w:tcPr>
            <w:tcW w:type="dxa" w:w="1944"/>
            <w:vAlign w:val="center"/>
            <w:tcMar>
              <w:top w:w="80" w:type="dxa"/>
              <w:start w:w="120" w:type="dxa"/>
              <w:bottom w:w="80" w:type="dxa"/>
              <w:end w:w="120" w:type="dxa"/>
            </w:tcMar>
            <w:shd w:fill="123447"/>
          </w:tcPr>
          <w:p>
            <w:pPr>
              <w:spacing w:after="0" w:line="252" w:lineRule="auto"/>
            </w:pPr>
            <w:r/>
            <w:r>
              <w:rPr>
                <w:rFonts w:ascii="Aptos" w:hAnsi="Aptos"/>
                <w:b/>
                <w:color w:val="FFFFFF"/>
                <w:sz w:val="16"/>
              </w:rPr>
              <w:t>Equation group</w:t>
            </w:r>
          </w:p>
        </w:tc>
        <w:tc>
          <w:tcPr>
            <w:tcW w:type="dxa" w:w="3384"/>
            <w:vAlign w:val="center"/>
            <w:tcMar>
              <w:top w:w="80" w:type="dxa"/>
              <w:start w:w="120" w:type="dxa"/>
              <w:bottom w:w="80" w:type="dxa"/>
              <w:end w:w="120" w:type="dxa"/>
            </w:tcMar>
            <w:shd w:fill="123447"/>
          </w:tcPr>
          <w:p>
            <w:pPr>
              <w:spacing w:after="0" w:line="252" w:lineRule="auto"/>
            </w:pPr>
            <w:r/>
            <w:r>
              <w:rPr>
                <w:rFonts w:ascii="Aptos" w:hAnsi="Aptos"/>
                <w:b/>
                <w:color w:val="FFFFFF"/>
                <w:sz w:val="16"/>
              </w:rPr>
              <w:t>Equation</w:t>
            </w:r>
          </w:p>
        </w:tc>
        <w:tc>
          <w:tcPr>
            <w:tcW w:type="dxa" w:w="2232"/>
            <w:vAlign w:val="center"/>
            <w:tcMar>
              <w:top w:w="80" w:type="dxa"/>
              <w:start w:w="120" w:type="dxa"/>
              <w:bottom w:w="80" w:type="dxa"/>
              <w:end w:w="120" w:type="dxa"/>
            </w:tcMar>
            <w:shd w:fill="123447"/>
          </w:tcPr>
          <w:p>
            <w:pPr>
              <w:spacing w:after="0" w:line="252" w:lineRule="auto"/>
            </w:pPr>
            <w:r/>
            <w:r>
              <w:rPr>
                <w:rFonts w:ascii="Aptos" w:hAnsi="Aptos"/>
                <w:b/>
                <w:color w:val="FFFFFF"/>
                <w:sz w:val="16"/>
              </w:rPr>
              <w:t>Feature</w:t>
            </w:r>
          </w:p>
        </w:tc>
        <w:tc>
          <w:tcPr>
            <w:tcW w:type="dxa" w:w="3528"/>
            <w:vAlign w:val="center"/>
            <w:tcMar>
              <w:top w:w="80" w:type="dxa"/>
              <w:start w:w="120" w:type="dxa"/>
              <w:bottom w:w="80" w:type="dxa"/>
              <w:end w:w="120" w:type="dxa"/>
            </w:tcMar>
            <w:shd w:fill="123447"/>
          </w:tcPr>
          <w:p>
            <w:pPr>
              <w:spacing w:after="0" w:line="252" w:lineRule="auto"/>
            </w:pPr>
            <w:r/>
            <w:r>
              <w:rPr>
                <w:rFonts w:ascii="Aptos" w:hAnsi="Aptos"/>
                <w:b/>
                <w:color w:val="FFFFFF"/>
                <w:sz w:val="16"/>
              </w:rPr>
              <w:t>How it enters classification</w:t>
            </w:r>
          </w:p>
        </w:tc>
      </w:tr>
      <w:tr>
        <w:tc>
          <w:tcPr>
            <w:tcW w:type="dxa" w:w="2484"/>
          </w:tcPr>
          <w:p>
            <w:pPr>
              <w:spacing w:after="0" w:line="252" w:lineRule="auto"/>
            </w:pPr>
            <w:r/>
            <w:r>
              <w:rPr>
                <w:rFonts w:ascii="Aptos" w:hAnsi="Aptos"/>
                <w:b w:val="0"/>
                <w:color w:val="1F2933"/>
                <w:sz w:val="16"/>
              </w:rPr>
              <w:t>Lithology / reservoir quality</w:t>
            </w:r>
          </w:p>
        </w:tc>
        <w:tc>
          <w:tcPr>
            <w:tcW w:type="dxa" w:w="2484"/>
          </w:tcPr>
          <w:p>
            <w:pPr>
              <w:spacing w:after="0" w:line="252" w:lineRule="auto"/>
            </w:pPr>
            <w:r/>
            <w:r>
              <w:rPr>
                <w:rFonts w:ascii="Aptos" w:hAnsi="Aptos"/>
                <w:b w:val="0"/>
                <w:color w:val="1F2933"/>
                <w:sz w:val="16"/>
              </w:rPr>
              <w:t>Vsh = clip((GR - GR_clean) / (GR_shale - GR_clean), 0, 1)</w:t>
            </w:r>
          </w:p>
        </w:tc>
        <w:tc>
          <w:tcPr>
            <w:tcW w:type="dxa" w:w="2484"/>
          </w:tcPr>
          <w:p>
            <w:pPr>
              <w:spacing w:after="0" w:line="252" w:lineRule="auto"/>
            </w:pPr>
            <w:r/>
            <w:r>
              <w:rPr>
                <w:rFonts w:ascii="Aptos" w:hAnsi="Aptos"/>
                <w:b w:val="0"/>
                <w:color w:val="1F2933"/>
                <w:sz w:val="16"/>
              </w:rPr>
              <w:t>Shale volume proxy</w:t>
            </w:r>
          </w:p>
        </w:tc>
        <w:tc>
          <w:tcPr>
            <w:tcW w:type="dxa" w:w="2484"/>
          </w:tcPr>
          <w:p>
            <w:pPr>
              <w:spacing w:after="0" w:line="252" w:lineRule="auto"/>
            </w:pPr>
            <w:r/>
            <w:r>
              <w:rPr>
                <w:rFonts w:ascii="Aptos" w:hAnsi="Aptos"/>
                <w:b w:val="0"/>
                <w:color w:val="1F2933"/>
                <w:sz w:val="16"/>
              </w:rPr>
              <w:t>Hydrate evidence is downgraded in shale-rich intervals unless core/facies evidence supports it.</w:t>
            </w:r>
          </w:p>
        </w:tc>
      </w:tr>
      <w:tr>
        <w:tc>
          <w:tcPr>
            <w:tcW w:type="dxa" w:w="2484"/>
          </w:tcPr>
          <w:p>
            <w:pPr>
              <w:spacing w:after="0" w:line="252" w:lineRule="auto"/>
            </w:pPr>
            <w:r/>
            <w:r>
              <w:rPr>
                <w:rFonts w:ascii="Aptos" w:hAnsi="Aptos"/>
                <w:b w:val="0"/>
                <w:color w:val="1F2933"/>
                <w:sz w:val="16"/>
              </w:rPr>
              <w:t>Density porosity</w:t>
            </w:r>
          </w:p>
        </w:tc>
        <w:tc>
          <w:tcPr>
            <w:tcW w:type="dxa" w:w="2484"/>
          </w:tcPr>
          <w:p>
            <w:pPr>
              <w:spacing w:after="0" w:line="252" w:lineRule="auto"/>
            </w:pPr>
            <w:r/>
            <w:r>
              <w:rPr>
                <w:rFonts w:ascii="Aptos" w:hAnsi="Aptos"/>
                <w:b w:val="0"/>
                <w:color w:val="1F2933"/>
                <w:sz w:val="16"/>
              </w:rPr>
              <w:t>phi_D = (rho_ma - RHOB) / (rho_ma - rho_f)</w:t>
            </w:r>
          </w:p>
        </w:tc>
        <w:tc>
          <w:tcPr>
            <w:tcW w:type="dxa" w:w="2484"/>
          </w:tcPr>
          <w:p>
            <w:pPr>
              <w:spacing w:after="0" w:line="252" w:lineRule="auto"/>
            </w:pPr>
            <w:r/>
            <w:r>
              <w:rPr>
                <w:rFonts w:ascii="Aptos" w:hAnsi="Aptos"/>
                <w:b w:val="0"/>
                <w:color w:val="1F2933"/>
                <w:sz w:val="16"/>
              </w:rPr>
              <w:t>Storage-capacity porosity</w:t>
            </w:r>
          </w:p>
        </w:tc>
        <w:tc>
          <w:tcPr>
            <w:tcW w:type="dxa" w:w="2484"/>
          </w:tcPr>
          <w:p>
            <w:pPr>
              <w:spacing w:after="0" w:line="252" w:lineRule="auto"/>
            </w:pPr>
            <w:r/>
            <w:r>
              <w:rPr>
                <w:rFonts w:ascii="Aptos" w:hAnsi="Aptos"/>
                <w:b w:val="0"/>
                <w:color w:val="1F2933"/>
                <w:sz w:val="16"/>
              </w:rPr>
              <w:t>Good porosity raises reservoir-quality score but does not create a hydrate label.</w:t>
            </w:r>
          </w:p>
        </w:tc>
      </w:tr>
      <w:tr>
        <w:tc>
          <w:tcPr>
            <w:tcW w:type="dxa" w:w="2484"/>
          </w:tcPr>
          <w:p>
            <w:pPr>
              <w:spacing w:after="0" w:line="252" w:lineRule="auto"/>
            </w:pPr>
            <w:r/>
            <w:r>
              <w:rPr>
                <w:rFonts w:ascii="Aptos" w:hAnsi="Aptos"/>
                <w:b w:val="0"/>
                <w:color w:val="1F2933"/>
                <w:sz w:val="16"/>
              </w:rPr>
              <w:t>Sonic velocity</w:t>
            </w:r>
          </w:p>
        </w:tc>
        <w:tc>
          <w:tcPr>
            <w:tcW w:type="dxa" w:w="2484"/>
          </w:tcPr>
          <w:p>
            <w:pPr>
              <w:spacing w:after="0" w:line="252" w:lineRule="auto"/>
            </w:pPr>
            <w:r/>
            <w:r>
              <w:rPr>
                <w:rFonts w:ascii="Aptos" w:hAnsi="Aptos"/>
                <w:b w:val="0"/>
                <w:color w:val="1F2933"/>
                <w:sz w:val="16"/>
              </w:rPr>
              <w:t>Vp = 304.8 / DT; Vs = 304.8 / DTS</w:t>
            </w:r>
          </w:p>
        </w:tc>
        <w:tc>
          <w:tcPr>
            <w:tcW w:type="dxa" w:w="2484"/>
          </w:tcPr>
          <w:p>
            <w:pPr>
              <w:spacing w:after="0" w:line="252" w:lineRule="auto"/>
            </w:pPr>
            <w:r/>
            <w:r>
              <w:rPr>
                <w:rFonts w:ascii="Aptos" w:hAnsi="Aptos"/>
                <w:b w:val="0"/>
                <w:color w:val="1F2933"/>
                <w:sz w:val="16"/>
              </w:rPr>
              <w:t>Compressional and shear velocity</w:t>
            </w:r>
          </w:p>
        </w:tc>
        <w:tc>
          <w:tcPr>
            <w:tcW w:type="dxa" w:w="2484"/>
          </w:tcPr>
          <w:p>
            <w:pPr>
              <w:spacing w:after="0" w:line="252" w:lineRule="auto"/>
            </w:pPr>
            <w:r/>
            <w:r>
              <w:rPr>
                <w:rFonts w:ascii="Aptos" w:hAnsi="Aptos"/>
                <w:b w:val="0"/>
                <w:color w:val="1F2933"/>
                <w:sz w:val="16"/>
              </w:rPr>
              <w:t>Hydrate-supportive Rt requires elastic support to avoid gas/low-porosity false positives.</w:t>
            </w:r>
          </w:p>
        </w:tc>
      </w:tr>
      <w:tr>
        <w:tc>
          <w:tcPr>
            <w:tcW w:type="dxa" w:w="2484"/>
          </w:tcPr>
          <w:p>
            <w:pPr>
              <w:spacing w:after="0" w:line="252" w:lineRule="auto"/>
            </w:pPr>
            <w:r/>
            <w:r>
              <w:rPr>
                <w:rFonts w:ascii="Aptos" w:hAnsi="Aptos"/>
                <w:b w:val="0"/>
                <w:color w:val="1F2933"/>
                <w:sz w:val="16"/>
              </w:rPr>
              <w:t>Elastic moduli</w:t>
            </w:r>
          </w:p>
        </w:tc>
        <w:tc>
          <w:tcPr>
            <w:tcW w:type="dxa" w:w="2484"/>
          </w:tcPr>
          <w:p>
            <w:pPr>
              <w:spacing w:after="0" w:line="252" w:lineRule="auto"/>
            </w:pPr>
            <w:r/>
            <w:r>
              <w:rPr>
                <w:rFonts w:ascii="Aptos" w:hAnsi="Aptos"/>
                <w:b w:val="0"/>
                <w:color w:val="1F2933"/>
                <w:sz w:val="16"/>
              </w:rPr>
              <w:t>G = rho * Vs^2; K = rho * (Vp^2 - 4Vs^2/3)</w:t>
            </w:r>
          </w:p>
        </w:tc>
        <w:tc>
          <w:tcPr>
            <w:tcW w:type="dxa" w:w="2484"/>
          </w:tcPr>
          <w:p>
            <w:pPr>
              <w:spacing w:after="0" w:line="252" w:lineRule="auto"/>
            </w:pPr>
            <w:r/>
            <w:r>
              <w:rPr>
                <w:rFonts w:ascii="Aptos" w:hAnsi="Aptos"/>
                <w:b w:val="0"/>
                <w:color w:val="1F2933"/>
                <w:sz w:val="16"/>
              </w:rPr>
              <w:t>Shear modulus and bulk modulus</w:t>
            </w:r>
          </w:p>
        </w:tc>
        <w:tc>
          <w:tcPr>
            <w:tcW w:type="dxa" w:w="2484"/>
          </w:tcPr>
          <w:p>
            <w:pPr>
              <w:spacing w:after="0" w:line="252" w:lineRule="auto"/>
            </w:pPr>
            <w:r/>
            <w:r>
              <w:rPr>
                <w:rFonts w:ascii="Aptos" w:hAnsi="Aptos"/>
                <w:b w:val="0"/>
                <w:color w:val="1F2933"/>
                <w:sz w:val="16"/>
              </w:rPr>
              <w:t>Higher shear modulus supports hydrate/ice/competent-rock review; low stiffness with high Rt flags gas or ambiguity.</w:t>
            </w:r>
          </w:p>
        </w:tc>
      </w:tr>
      <w:tr>
        <w:tc>
          <w:tcPr>
            <w:tcW w:type="dxa" w:w="2484"/>
          </w:tcPr>
          <w:p>
            <w:pPr>
              <w:spacing w:after="0" w:line="252" w:lineRule="auto"/>
            </w:pPr>
            <w:r/>
            <w:r>
              <w:rPr>
                <w:rFonts w:ascii="Aptos" w:hAnsi="Aptos"/>
                <w:b w:val="0"/>
                <w:color w:val="1F2933"/>
                <w:sz w:val="16"/>
              </w:rPr>
              <w:t>Lambda-rho / mu-rho</w:t>
            </w:r>
          </w:p>
        </w:tc>
        <w:tc>
          <w:tcPr>
            <w:tcW w:type="dxa" w:w="2484"/>
          </w:tcPr>
          <w:p>
            <w:pPr>
              <w:spacing w:after="0" w:line="252" w:lineRule="auto"/>
            </w:pPr>
            <w:r/>
            <w:r>
              <w:rPr>
                <w:rFonts w:ascii="Aptos" w:hAnsi="Aptos"/>
                <w:b w:val="0"/>
                <w:color w:val="1F2933"/>
                <w:sz w:val="16"/>
              </w:rPr>
              <w:t>lambda-rho = rho * (Vp^2 - 2Vs^2); mu-rho = rho * Vs^2</w:t>
            </w:r>
          </w:p>
        </w:tc>
        <w:tc>
          <w:tcPr>
            <w:tcW w:type="dxa" w:w="2484"/>
          </w:tcPr>
          <w:p>
            <w:pPr>
              <w:spacing w:after="0" w:line="252" w:lineRule="auto"/>
            </w:pPr>
            <w:r/>
            <w:r>
              <w:rPr>
                <w:rFonts w:ascii="Aptos" w:hAnsi="Aptos"/>
                <w:b w:val="0"/>
                <w:color w:val="1F2933"/>
                <w:sz w:val="16"/>
              </w:rPr>
              <w:t>Fluid-sensitive and rigidity-sensitive crossplot terms</w:t>
            </w:r>
          </w:p>
        </w:tc>
        <w:tc>
          <w:tcPr>
            <w:tcW w:type="dxa" w:w="2484"/>
          </w:tcPr>
          <w:p>
            <w:pPr>
              <w:spacing w:after="0" w:line="252" w:lineRule="auto"/>
            </w:pPr>
            <w:r/>
            <w:r>
              <w:rPr>
                <w:rFonts w:ascii="Aptos" w:hAnsi="Aptos"/>
                <w:b w:val="0"/>
                <w:color w:val="1F2933"/>
                <w:sz w:val="16"/>
              </w:rPr>
              <w:t>Used as a crossplot lane; overlap with shale, ice, and carbonates remains explicit.</w:t>
            </w:r>
          </w:p>
        </w:tc>
      </w:tr>
      <w:tr>
        <w:tc>
          <w:tcPr>
            <w:tcW w:type="dxa" w:w="2484"/>
          </w:tcPr>
          <w:p>
            <w:pPr>
              <w:spacing w:after="0" w:line="252" w:lineRule="auto"/>
            </w:pPr>
            <w:r/>
            <w:r>
              <w:rPr>
                <w:rFonts w:ascii="Aptos" w:hAnsi="Aptos"/>
                <w:b w:val="0"/>
                <w:color w:val="1F2933"/>
                <w:sz w:val="16"/>
              </w:rPr>
              <w:t>Poisson / Young's modulus</w:t>
            </w:r>
          </w:p>
        </w:tc>
        <w:tc>
          <w:tcPr>
            <w:tcW w:type="dxa" w:w="2484"/>
          </w:tcPr>
          <w:p>
            <w:pPr>
              <w:spacing w:after="0" w:line="252" w:lineRule="auto"/>
            </w:pPr>
            <w:r/>
            <w:r>
              <w:rPr>
                <w:rFonts w:ascii="Aptos" w:hAnsi="Aptos"/>
                <w:b w:val="0"/>
                <w:color w:val="1F2933"/>
                <w:sz w:val="16"/>
              </w:rPr>
              <w:t>nu = (Vp^2 - 2Vs^2) / (2(Vp^2 - Vs^2)); E = 2G(1 + nu)</w:t>
            </w:r>
          </w:p>
        </w:tc>
        <w:tc>
          <w:tcPr>
            <w:tcW w:type="dxa" w:w="2484"/>
          </w:tcPr>
          <w:p>
            <w:pPr>
              <w:spacing w:after="0" w:line="252" w:lineRule="auto"/>
            </w:pPr>
            <w:r/>
            <w:r>
              <w:rPr>
                <w:rFonts w:ascii="Aptos" w:hAnsi="Aptos"/>
                <w:b w:val="0"/>
                <w:color w:val="1F2933"/>
                <w:sz w:val="16"/>
              </w:rPr>
              <w:t>Mechanical behavior features</w:t>
            </w:r>
          </w:p>
        </w:tc>
        <w:tc>
          <w:tcPr>
            <w:tcW w:type="dxa" w:w="2484"/>
          </w:tcPr>
          <w:p>
            <w:pPr>
              <w:spacing w:after="0" w:line="252" w:lineRule="auto"/>
            </w:pPr>
            <w:r/>
            <w:r>
              <w:rPr>
                <w:rFonts w:ascii="Aptos" w:hAnsi="Aptos"/>
                <w:b w:val="0"/>
                <w:color w:val="1F2933"/>
                <w:sz w:val="16"/>
              </w:rPr>
              <w:t>Not a hydrate detector; supports rock-type and producibility interpretation.</w:t>
            </w:r>
          </w:p>
        </w:tc>
      </w:tr>
      <w:tr>
        <w:tc>
          <w:tcPr>
            <w:tcW w:type="dxa" w:w="2484"/>
          </w:tcPr>
          <w:p>
            <w:pPr>
              <w:spacing w:after="0" w:line="252" w:lineRule="auto"/>
            </w:pPr>
            <w:r/>
            <w:r>
              <w:rPr>
                <w:rFonts w:ascii="Aptos" w:hAnsi="Aptos"/>
                <w:b w:val="0"/>
                <w:color w:val="1F2933"/>
                <w:sz w:val="16"/>
              </w:rPr>
              <w:t>Pressure-temperature admissibility</w:t>
            </w:r>
          </w:p>
        </w:tc>
        <w:tc>
          <w:tcPr>
            <w:tcW w:type="dxa" w:w="2484"/>
          </w:tcPr>
          <w:p>
            <w:pPr>
              <w:spacing w:after="0" w:line="252" w:lineRule="auto"/>
            </w:pPr>
            <w:r/>
            <w:r>
              <w:rPr>
                <w:rFonts w:ascii="Aptos" w:hAnsi="Aptos"/>
                <w:b w:val="0"/>
                <w:color w:val="1F2933"/>
                <w:sz w:val="16"/>
              </w:rPr>
              <w:t>T(z) = T0 + GT*z; Pp(z) = rho_w*g*z</w:t>
            </w:r>
          </w:p>
        </w:tc>
        <w:tc>
          <w:tcPr>
            <w:tcW w:type="dxa" w:w="2484"/>
          </w:tcPr>
          <w:p>
            <w:pPr>
              <w:spacing w:after="0" w:line="252" w:lineRule="auto"/>
            </w:pPr>
            <w:r/>
            <w:r>
              <w:rPr>
                <w:rFonts w:ascii="Aptos" w:hAnsi="Aptos"/>
                <w:b w:val="0"/>
                <w:color w:val="1F2933"/>
                <w:sz w:val="16"/>
              </w:rPr>
              <w:t>Working GHSZ screen</w:t>
            </w:r>
          </w:p>
        </w:tc>
        <w:tc>
          <w:tcPr>
            <w:tcW w:type="dxa" w:w="2484"/>
          </w:tcPr>
          <w:p>
            <w:pPr>
              <w:spacing w:after="0" w:line="252" w:lineRule="auto"/>
            </w:pPr>
            <w:r/>
            <w:r>
              <w:rPr>
                <w:rFonts w:ascii="Aptos" w:hAnsi="Aptos"/>
                <w:b w:val="0"/>
                <w:color w:val="1F2933"/>
                <w:sz w:val="16"/>
              </w:rPr>
              <w:t>Outside/marginal stability prevents automatic hydrate promotion even if logs look interesting.</w:t>
            </w:r>
          </w:p>
        </w:tc>
      </w:tr>
      <w:tr>
        <w:tc>
          <w:tcPr>
            <w:tcW w:type="dxa" w:w="2484"/>
          </w:tcPr>
          <w:p>
            <w:pPr>
              <w:spacing w:after="0" w:line="252" w:lineRule="auto"/>
            </w:pPr>
            <w:r/>
            <w:r>
              <w:rPr>
                <w:rFonts w:ascii="Aptos" w:hAnsi="Aptos"/>
                <w:b w:val="0"/>
                <w:color w:val="1F2933"/>
                <w:sz w:val="16"/>
              </w:rPr>
              <w:t>Overburden / effective stress</w:t>
            </w:r>
          </w:p>
        </w:tc>
        <w:tc>
          <w:tcPr>
            <w:tcW w:type="dxa" w:w="2484"/>
          </w:tcPr>
          <w:p>
            <w:pPr>
              <w:spacing w:after="0" w:line="252" w:lineRule="auto"/>
            </w:pPr>
            <w:r/>
            <w:r>
              <w:rPr>
                <w:rFonts w:ascii="Aptos" w:hAnsi="Aptos"/>
                <w:b w:val="0"/>
                <w:color w:val="1F2933"/>
                <w:sz w:val="16"/>
              </w:rPr>
              <w:t>sigma_v = integral(rho_b*g dz); sigma_eff = sigma_v - alpha*Pp</w:t>
            </w:r>
          </w:p>
        </w:tc>
        <w:tc>
          <w:tcPr>
            <w:tcW w:type="dxa" w:w="2484"/>
          </w:tcPr>
          <w:p>
            <w:pPr>
              <w:spacing w:after="0" w:line="252" w:lineRule="auto"/>
            </w:pPr>
            <w:r/>
            <w:r>
              <w:rPr>
                <w:rFonts w:ascii="Aptos" w:hAnsi="Aptos"/>
                <w:b w:val="0"/>
                <w:color w:val="1F2933"/>
                <w:sz w:val="16"/>
              </w:rPr>
              <w:t>Vertical and effective stress</w:t>
            </w:r>
          </w:p>
        </w:tc>
        <w:tc>
          <w:tcPr>
            <w:tcW w:type="dxa" w:w="2484"/>
          </w:tcPr>
          <w:p>
            <w:pPr>
              <w:spacing w:after="0" w:line="252" w:lineRule="auto"/>
            </w:pPr>
            <w:r/>
            <w:r>
              <w:rPr>
                <w:rFonts w:ascii="Aptos" w:hAnsi="Aptos"/>
                <w:b w:val="0"/>
                <w:color w:val="1F2933"/>
                <w:sz w:val="16"/>
              </w:rPr>
              <w:t>Velocity/stiffness anomalies are reviewed against stress and rock type before hydrate labeling.</w:t>
            </w:r>
          </w:p>
        </w:tc>
      </w:tr>
      <w:tr>
        <w:tc>
          <w:tcPr>
            <w:tcW w:type="dxa" w:w="2484"/>
          </w:tcPr>
          <w:p>
            <w:pPr>
              <w:spacing w:after="0" w:line="252" w:lineRule="auto"/>
            </w:pPr>
            <w:r/>
            <w:r>
              <w:rPr>
                <w:rFonts w:ascii="Aptos" w:hAnsi="Aptos"/>
                <w:b w:val="0"/>
                <w:color w:val="1F2933"/>
                <w:sz w:val="16"/>
              </w:rPr>
              <w:t>Saturation proxy</w:t>
            </w:r>
          </w:p>
        </w:tc>
        <w:tc>
          <w:tcPr>
            <w:tcW w:type="dxa" w:w="2484"/>
          </w:tcPr>
          <w:p>
            <w:pPr>
              <w:spacing w:after="0" w:line="252" w:lineRule="auto"/>
            </w:pPr>
            <w:r/>
            <w:r>
              <w:rPr>
                <w:rFonts w:ascii="Aptos" w:hAnsi="Aptos"/>
                <w:b w:val="0"/>
                <w:color w:val="1F2933"/>
                <w:sz w:val="16"/>
              </w:rPr>
              <w:t>Sh_Archie = 1 - (a*Rw / (phi^m * Rt))^(1/n)</w:t>
            </w:r>
          </w:p>
        </w:tc>
        <w:tc>
          <w:tcPr>
            <w:tcW w:type="dxa" w:w="2484"/>
          </w:tcPr>
          <w:p>
            <w:pPr>
              <w:spacing w:after="0" w:line="252" w:lineRule="auto"/>
            </w:pPr>
            <w:r/>
            <w:r>
              <w:rPr>
                <w:rFonts w:ascii="Aptos" w:hAnsi="Aptos"/>
                <w:b w:val="0"/>
                <w:color w:val="1F2933"/>
                <w:sz w:val="16"/>
              </w:rPr>
              <w:t>Electrical hydrate proxy</w:t>
            </w:r>
          </w:p>
        </w:tc>
        <w:tc>
          <w:tcPr>
            <w:tcW w:type="dxa" w:w="2484"/>
          </w:tcPr>
          <w:p>
            <w:pPr>
              <w:spacing w:after="0" w:line="252" w:lineRule="auto"/>
            </w:pPr>
            <w:r/>
            <w:r>
              <w:rPr>
                <w:rFonts w:ascii="Aptos" w:hAnsi="Aptos"/>
                <w:b w:val="0"/>
                <w:color w:val="1F2933"/>
                <w:sz w:val="16"/>
              </w:rPr>
              <w:t>Supplementary only; clay, salinity, gas, low porosity, and ice must be reviewed.</w:t>
            </w:r>
          </w:p>
        </w:tc>
      </w:tr>
      <w:tr>
        <w:tc>
          <w:tcPr>
            <w:tcW w:type="dxa" w:w="2484"/>
          </w:tcPr>
          <w:p>
            <w:pPr>
              <w:spacing w:after="0" w:line="252" w:lineRule="auto"/>
            </w:pPr>
            <w:r/>
            <w:r>
              <w:rPr>
                <w:rFonts w:ascii="Aptos" w:hAnsi="Aptos"/>
                <w:b w:val="0"/>
                <w:color w:val="1F2933"/>
                <w:sz w:val="16"/>
              </w:rPr>
              <w:t>NMR-density saturation proxy</w:t>
            </w:r>
          </w:p>
        </w:tc>
        <w:tc>
          <w:tcPr>
            <w:tcW w:type="dxa" w:w="2484"/>
          </w:tcPr>
          <w:p>
            <w:pPr>
              <w:spacing w:after="0" w:line="252" w:lineRule="auto"/>
            </w:pPr>
            <w:r/>
            <w:r>
              <w:rPr>
                <w:rFonts w:ascii="Aptos" w:hAnsi="Aptos"/>
                <w:b w:val="0"/>
                <w:color w:val="1F2933"/>
                <w:sz w:val="16"/>
              </w:rPr>
              <w:t>Sh_NMRD = (phi_D - phi_NMR) / phi_D</w:t>
            </w:r>
          </w:p>
        </w:tc>
        <w:tc>
          <w:tcPr>
            <w:tcW w:type="dxa" w:w="2484"/>
          </w:tcPr>
          <w:p>
            <w:pPr>
              <w:spacing w:after="0" w:line="252" w:lineRule="auto"/>
            </w:pPr>
            <w:r/>
            <w:r>
              <w:rPr>
                <w:rFonts w:ascii="Aptos" w:hAnsi="Aptos"/>
                <w:b w:val="0"/>
                <w:color w:val="1F2933"/>
                <w:sz w:val="16"/>
              </w:rPr>
              <w:t>Preferred hydrate proxy where NMR exists</w:t>
            </w:r>
          </w:p>
        </w:tc>
        <w:tc>
          <w:tcPr>
            <w:tcW w:type="dxa" w:w="2484"/>
          </w:tcPr>
          <w:p>
            <w:pPr>
              <w:spacing w:after="0" w:line="252" w:lineRule="auto"/>
            </w:pPr>
            <w:r/>
            <w:r>
              <w:rPr>
                <w:rFonts w:ascii="Aptos" w:hAnsi="Aptos"/>
                <w:b w:val="0"/>
                <w:color w:val="1F2933"/>
                <w:sz w:val="16"/>
              </w:rPr>
              <w:t>Preferred saturation proxy, but depth matching, shale effects, and tool QC remain visible.</w:t>
            </w:r>
          </w:p>
        </w:tc>
      </w:tr>
      <w:tr>
        <w:tc>
          <w:tcPr>
            <w:tcW w:type="dxa" w:w="2484"/>
          </w:tcPr>
          <w:p>
            <w:pPr>
              <w:spacing w:after="0" w:line="252" w:lineRule="auto"/>
            </w:pPr>
            <w:r/>
            <w:r>
              <w:rPr>
                <w:rFonts w:ascii="Aptos" w:hAnsi="Aptos"/>
                <w:b w:val="0"/>
                <w:color w:val="1F2933"/>
                <w:sz w:val="16"/>
              </w:rPr>
              <w:t>Permeability / producibility risk</w:t>
            </w:r>
          </w:p>
        </w:tc>
        <w:tc>
          <w:tcPr>
            <w:tcW w:type="dxa" w:w="2484"/>
          </w:tcPr>
          <w:p>
            <w:pPr>
              <w:spacing w:after="0" w:line="252" w:lineRule="auto"/>
            </w:pPr>
            <w:r/>
            <w:r>
              <w:rPr>
                <w:rFonts w:ascii="Aptos" w:hAnsi="Aptos"/>
                <w:b w:val="0"/>
                <w:color w:val="1F2933"/>
                <w:sz w:val="16"/>
              </w:rPr>
              <w:t>k_rel_proxy = (1 - Sh)^n</w:t>
            </w:r>
          </w:p>
        </w:tc>
        <w:tc>
          <w:tcPr>
            <w:tcW w:type="dxa" w:w="2484"/>
          </w:tcPr>
          <w:p>
            <w:pPr>
              <w:spacing w:after="0" w:line="252" w:lineRule="auto"/>
            </w:pPr>
            <w:r/>
            <w:r>
              <w:rPr>
                <w:rFonts w:ascii="Aptos" w:hAnsi="Aptos"/>
                <w:b w:val="0"/>
                <w:color w:val="1F2933"/>
                <w:sz w:val="16"/>
              </w:rPr>
              <w:t>Permeability retention proxy</w:t>
            </w:r>
          </w:p>
        </w:tc>
        <w:tc>
          <w:tcPr>
            <w:tcW w:type="dxa" w:w="2484"/>
          </w:tcPr>
          <w:p>
            <w:pPr>
              <w:spacing w:after="0" w:line="252" w:lineRule="auto"/>
            </w:pPr>
            <w:r/>
            <w:r>
              <w:rPr>
                <w:rFonts w:ascii="Aptos" w:hAnsi="Aptos"/>
                <w:b w:val="0"/>
                <w:color w:val="1F2933"/>
                <w:sz w:val="16"/>
              </w:rPr>
              <w:t>Separates hydrate occurrence/saturation from production sweet-spot ranking.</w:t>
            </w:r>
          </w:p>
        </w:tc>
      </w:tr>
    </w:tbl>
    <w:p/>
    <w:p>
      <w:pPr>
        <w:pStyle w:val="Heading1"/>
        <w:spacing w:before="280" w:after="100"/>
      </w:pPr>
      <w:r>
        <w:rPr>
          <w:rFonts w:ascii="Aptos Display" w:hAnsi="Aptos Display"/>
          <w:color w:val="123447"/>
        </w:rPr>
        <w:t>4. Why Sweet Spots Are Conditional</w:t>
      </w:r>
    </w:p>
    <w:p>
      <w:pPr>
        <w:spacing w:after="120" w:line="269" w:lineRule="auto"/>
      </w:pPr>
      <w:r>
        <w:rPr>
          <w:rFonts w:ascii="Aptos" w:hAnsi="Aptos"/>
          <w:color w:val="1F2933"/>
          <w:sz w:val="20"/>
        </w:rPr>
        <w:t>A sweet spot is not a single threshold. For this project, a sweet spot is an interval that passes a staged set of physical screens: admissible pressure-temperature conditions, reservoir-quality rock, multi-log hydrate evidence, limited competing explanations, and enough retained flow capacity to justify production-oriented review. The same resistivity or velocity value can mean different things in clean sand, shaly sand, permafrost/ice-bearing sediment, coal, carbonate, or a washed-out borehole.</w:t>
      </w:r>
    </w:p>
    <w:tbl>
      <w:tblPr>
        <w:tblStyle w:val="TableGrid"/>
        <w:tblW w:type="auto" w:w="0"/>
        <w:tblLayout w:type="fixed"/>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1987"/>
        <w:gridCol w:w="1987"/>
        <w:gridCol w:w="1987"/>
        <w:gridCol w:w="1987"/>
        <w:gridCol w:w="1987"/>
      </w:tblGrid>
      <w:tr>
        <w:tc>
          <w:tcPr>
            <w:tcW w:type="dxa" w:w="1080"/>
            <w:vAlign w:val="center"/>
            <w:tcMar>
              <w:top w:w="80" w:type="dxa"/>
              <w:start w:w="120" w:type="dxa"/>
              <w:bottom w:w="80" w:type="dxa"/>
              <w:end w:w="120" w:type="dxa"/>
            </w:tcMar>
            <w:shd w:fill="167D8D"/>
          </w:tcPr>
          <w:p>
            <w:pPr>
              <w:spacing w:after="0" w:line="252" w:lineRule="auto"/>
            </w:pPr>
            <w:r/>
            <w:r>
              <w:rPr>
                <w:rFonts w:ascii="Aptos" w:hAnsi="Aptos"/>
                <w:b/>
                <w:color w:val="FFFFFF"/>
                <w:sz w:val="16"/>
              </w:rPr>
              <w:t>Variable</w:t>
            </w:r>
          </w:p>
        </w:tc>
        <w:tc>
          <w:tcPr>
            <w:tcW w:type="dxa" w:w="2520"/>
            <w:vAlign w:val="center"/>
            <w:tcMar>
              <w:top w:w="80" w:type="dxa"/>
              <w:start w:w="120" w:type="dxa"/>
              <w:bottom w:w="80" w:type="dxa"/>
              <w:end w:w="120" w:type="dxa"/>
            </w:tcMar>
            <w:shd w:fill="167D8D"/>
          </w:tcPr>
          <w:p>
            <w:pPr>
              <w:spacing w:after="0" w:line="252" w:lineRule="auto"/>
            </w:pPr>
            <w:r/>
            <w:r>
              <w:rPr>
                <w:rFonts w:ascii="Aptos" w:hAnsi="Aptos"/>
                <w:b/>
                <w:color w:val="FFFFFF"/>
                <w:sz w:val="16"/>
              </w:rPr>
              <w:t>Working tendency</w:t>
            </w:r>
          </w:p>
        </w:tc>
        <w:tc>
          <w:tcPr>
            <w:tcW w:type="dxa" w:w="2520"/>
            <w:vAlign w:val="center"/>
            <w:tcMar>
              <w:top w:w="80" w:type="dxa"/>
              <w:start w:w="120" w:type="dxa"/>
              <w:bottom w:w="80" w:type="dxa"/>
              <w:end w:w="120" w:type="dxa"/>
            </w:tcMar>
            <w:shd w:fill="167D8D"/>
          </w:tcPr>
          <w:p>
            <w:pPr>
              <w:spacing w:after="0" w:line="252" w:lineRule="auto"/>
            </w:pPr>
            <w:r/>
            <w:r>
              <w:rPr>
                <w:rFonts w:ascii="Aptos" w:hAnsi="Aptos"/>
                <w:b/>
                <w:color w:val="FFFFFF"/>
                <w:sz w:val="16"/>
              </w:rPr>
              <w:t>Why useful</w:t>
            </w:r>
          </w:p>
        </w:tc>
        <w:tc>
          <w:tcPr>
            <w:tcW w:type="dxa" w:w="2664"/>
            <w:vAlign w:val="center"/>
            <w:tcMar>
              <w:top w:w="80" w:type="dxa"/>
              <w:start w:w="120" w:type="dxa"/>
              <w:bottom w:w="80" w:type="dxa"/>
              <w:end w:w="120" w:type="dxa"/>
            </w:tcMar>
            <w:shd w:fill="167D8D"/>
          </w:tcPr>
          <w:p>
            <w:pPr>
              <w:spacing w:after="0" w:line="252" w:lineRule="auto"/>
            </w:pPr>
            <w:r/>
            <w:r>
              <w:rPr>
                <w:rFonts w:ascii="Aptos" w:hAnsi="Aptos"/>
                <w:b/>
                <w:color w:val="FFFFFF"/>
                <w:sz w:val="16"/>
              </w:rPr>
              <w:t>Competing explanations</w:t>
            </w:r>
          </w:p>
        </w:tc>
        <w:tc>
          <w:tcPr>
            <w:tcW w:type="dxa" w:w="2664"/>
            <w:vAlign w:val="center"/>
            <w:tcMar>
              <w:top w:w="80" w:type="dxa"/>
              <w:start w:w="120" w:type="dxa"/>
              <w:bottom w:w="80" w:type="dxa"/>
              <w:end w:w="120" w:type="dxa"/>
            </w:tcMar>
            <w:shd w:fill="167D8D"/>
          </w:tcPr>
          <w:p>
            <w:pPr>
              <w:spacing w:after="0" w:line="252" w:lineRule="auto"/>
            </w:pPr>
            <w:r/>
            <w:r>
              <w:rPr>
                <w:rFonts w:ascii="Aptos" w:hAnsi="Aptos"/>
                <w:b/>
                <w:color w:val="FFFFFF"/>
                <w:sz w:val="16"/>
              </w:rPr>
              <w:t>Required support</w:t>
            </w:r>
          </w:p>
        </w:tc>
      </w:tr>
      <w:tr>
        <w:tc>
          <w:tcPr>
            <w:tcW w:type="dxa" w:w="1987"/>
          </w:tcPr>
          <w:p>
            <w:pPr>
              <w:spacing w:after="0" w:line="252" w:lineRule="auto"/>
            </w:pPr>
            <w:r/>
            <w:r>
              <w:rPr>
                <w:rFonts w:ascii="Aptos" w:hAnsi="Aptos"/>
                <w:b w:val="0"/>
                <w:color w:val="1F2933"/>
                <w:sz w:val="16"/>
              </w:rPr>
              <w:t>GR</w:t>
            </w:r>
          </w:p>
        </w:tc>
        <w:tc>
          <w:tcPr>
            <w:tcW w:type="dxa" w:w="1987"/>
          </w:tcPr>
          <w:p>
            <w:pPr>
              <w:spacing w:after="0" w:line="252" w:lineRule="auto"/>
            </w:pPr>
            <w:r/>
            <w:r>
              <w:rPr>
                <w:rFonts w:ascii="Aptos" w:hAnsi="Aptos"/>
                <w:b w:val="0"/>
                <w:color w:val="1F2933"/>
                <w:sz w:val="16"/>
              </w:rPr>
              <w:t>Lower GR supports a cleaner sand screen; use local clean/shale anchors.</w:t>
            </w:r>
          </w:p>
        </w:tc>
        <w:tc>
          <w:tcPr>
            <w:tcW w:type="dxa" w:w="1987"/>
          </w:tcPr>
          <w:p>
            <w:pPr>
              <w:spacing w:after="0" w:line="252" w:lineRule="auto"/>
            </w:pPr>
            <w:r/>
            <w:r>
              <w:rPr>
                <w:rFonts w:ascii="Aptos" w:hAnsi="Aptos"/>
                <w:b w:val="0"/>
                <w:color w:val="1F2933"/>
                <w:sz w:val="16"/>
              </w:rPr>
              <w:t>GR helps distinguish reservoir-grade sand from shale-rich intervals before phase interpretation.</w:t>
            </w:r>
          </w:p>
        </w:tc>
        <w:tc>
          <w:tcPr>
            <w:tcW w:type="dxa" w:w="1987"/>
          </w:tcPr>
          <w:p>
            <w:pPr>
              <w:spacing w:after="0" w:line="252" w:lineRule="auto"/>
            </w:pPr>
            <w:r/>
            <w:r>
              <w:rPr>
                <w:rFonts w:ascii="Aptos" w:hAnsi="Aptos"/>
                <w:b w:val="0"/>
                <w:color w:val="1F2933"/>
                <w:sz w:val="16"/>
              </w:rPr>
              <w:t>Bentonitic shale, radioactive sand, coal, and local facies variation.</w:t>
            </w:r>
          </w:p>
        </w:tc>
        <w:tc>
          <w:tcPr>
            <w:tcW w:type="dxa" w:w="1987"/>
          </w:tcPr>
          <w:p>
            <w:pPr>
              <w:spacing w:after="0" w:line="252" w:lineRule="auto"/>
            </w:pPr>
            <w:r/>
            <w:r>
              <w:rPr>
                <w:rFonts w:ascii="Aptos" w:hAnsi="Aptos"/>
                <w:b w:val="0"/>
                <w:color w:val="1F2933"/>
                <w:sz w:val="16"/>
              </w:rPr>
              <w:t>RHOB/porosity, borehole QC, depositional context, and multi-log phase evidence.</w:t>
            </w:r>
          </w:p>
        </w:tc>
      </w:tr>
      <w:tr>
        <w:tc>
          <w:tcPr>
            <w:tcW w:type="dxa" w:w="1987"/>
          </w:tcPr>
          <w:p>
            <w:pPr>
              <w:spacing w:after="0" w:line="252" w:lineRule="auto"/>
            </w:pPr>
            <w:r/>
            <w:r>
              <w:rPr>
                <w:rFonts w:ascii="Aptos" w:hAnsi="Aptos"/>
                <w:b w:val="0"/>
                <w:color w:val="1F2933"/>
                <w:sz w:val="16"/>
              </w:rPr>
              <w:t>Rt</w:t>
            </w:r>
          </w:p>
        </w:tc>
        <w:tc>
          <w:tcPr>
            <w:tcW w:type="dxa" w:w="1987"/>
          </w:tcPr>
          <w:p>
            <w:pPr>
              <w:spacing w:after="0" w:line="252" w:lineRule="auto"/>
            </w:pPr>
            <w:r/>
            <w:r>
              <w:rPr>
                <w:rFonts w:ascii="Aptos" w:hAnsi="Aptos"/>
                <w:b w:val="0"/>
                <w:color w:val="1F2933"/>
                <w:sz w:val="16"/>
              </w:rPr>
              <w:t>Hydrate sand working anchor about 10-100+; water sand about 1-5.</w:t>
            </w:r>
          </w:p>
        </w:tc>
        <w:tc>
          <w:tcPr>
            <w:tcW w:type="dxa" w:w="1987"/>
          </w:tcPr>
          <w:p>
            <w:pPr>
              <w:spacing w:after="0" w:line="252" w:lineRule="auto"/>
            </w:pPr>
            <w:r/>
            <w:r>
              <w:rPr>
                <w:rFonts w:ascii="Aptos" w:hAnsi="Aptos"/>
                <w:b w:val="0"/>
                <w:color w:val="1F2933"/>
                <w:sz w:val="16"/>
              </w:rPr>
              <w:t>Pore-filling hydrate can reduce conductive water connectivity and increase resistivity.</w:t>
            </w:r>
          </w:p>
        </w:tc>
        <w:tc>
          <w:tcPr>
            <w:tcW w:type="dxa" w:w="1987"/>
          </w:tcPr>
          <w:p>
            <w:pPr>
              <w:spacing w:after="0" w:line="252" w:lineRule="auto"/>
            </w:pPr>
            <w:r/>
            <w:r>
              <w:rPr>
                <w:rFonts w:ascii="Aptos" w:hAnsi="Aptos"/>
                <w:b w:val="0"/>
                <w:color w:val="1F2933"/>
                <w:sz w:val="16"/>
              </w:rPr>
              <w:t>Gas, low porosity, clay effects, carbonate, coal/lignite, and ice-bearing sediment.</w:t>
            </w:r>
          </w:p>
        </w:tc>
        <w:tc>
          <w:tcPr>
            <w:tcW w:type="dxa" w:w="1987"/>
          </w:tcPr>
          <w:p>
            <w:pPr>
              <w:spacing w:after="0" w:line="252" w:lineRule="auto"/>
            </w:pPr>
            <w:r/>
            <w:r>
              <w:rPr>
                <w:rFonts w:ascii="Aptos" w:hAnsi="Aptos"/>
                <w:b w:val="0"/>
                <w:color w:val="1F2933"/>
                <w:sz w:val="16"/>
              </w:rPr>
              <w:t>Sonic, density/porosity, lithology, NMR where available, and P-T context.</w:t>
            </w:r>
          </w:p>
        </w:tc>
      </w:tr>
      <w:tr>
        <w:tc>
          <w:tcPr>
            <w:tcW w:type="dxa" w:w="1987"/>
          </w:tcPr>
          <w:p>
            <w:pPr>
              <w:spacing w:after="0" w:line="252" w:lineRule="auto"/>
            </w:pPr>
            <w:r/>
            <w:r>
              <w:rPr>
                <w:rFonts w:ascii="Aptos" w:hAnsi="Aptos"/>
                <w:b w:val="0"/>
                <w:color w:val="1F2933"/>
                <w:sz w:val="16"/>
              </w:rPr>
              <w:t>Porosity</w:t>
            </w:r>
          </w:p>
        </w:tc>
        <w:tc>
          <w:tcPr>
            <w:tcW w:type="dxa" w:w="1987"/>
          </w:tcPr>
          <w:p>
            <w:pPr>
              <w:spacing w:after="0" w:line="252" w:lineRule="auto"/>
            </w:pPr>
            <w:r/>
            <w:r>
              <w:rPr>
                <w:rFonts w:ascii="Aptos" w:hAnsi="Aptos"/>
                <w:b w:val="0"/>
                <w:color w:val="1F2933"/>
                <w:sz w:val="16"/>
              </w:rPr>
              <w:t>Hydrate sand working anchor about 0.20-0.35; interpret capacity separately from occupancy.</w:t>
            </w:r>
          </w:p>
        </w:tc>
        <w:tc>
          <w:tcPr>
            <w:tcW w:type="dxa" w:w="1987"/>
          </w:tcPr>
          <w:p>
            <w:pPr>
              <w:spacing w:after="0" w:line="252" w:lineRule="auto"/>
            </w:pPr>
            <w:r/>
            <w:r>
              <w:rPr>
                <w:rFonts w:ascii="Aptos" w:hAnsi="Aptos"/>
                <w:b w:val="0"/>
                <w:color w:val="1F2933"/>
                <w:sz w:val="16"/>
              </w:rPr>
              <w:t>Porosity describes storage capacity and supports density/NMR saturation transforms.</w:t>
            </w:r>
          </w:p>
        </w:tc>
        <w:tc>
          <w:tcPr>
            <w:tcW w:type="dxa" w:w="1987"/>
          </w:tcPr>
          <w:p>
            <w:pPr>
              <w:spacing w:after="0" w:line="252" w:lineRule="auto"/>
            </w:pPr>
            <w:r/>
            <w:r>
              <w:rPr>
                <w:rFonts w:ascii="Aptos" w:hAnsi="Aptos"/>
                <w:b w:val="0"/>
                <w:color w:val="1F2933"/>
                <w:sz w:val="16"/>
              </w:rPr>
              <w:t>Shale correction, matrix choice, gas effect, washout, and thin-bed averaging.</w:t>
            </w:r>
          </w:p>
        </w:tc>
        <w:tc>
          <w:tcPr>
            <w:tcW w:type="dxa" w:w="1987"/>
          </w:tcPr>
          <w:p>
            <w:pPr>
              <w:spacing w:after="0" w:line="252" w:lineRule="auto"/>
            </w:pPr>
            <w:r/>
            <w:r>
              <w:rPr>
                <w:rFonts w:ascii="Aptos" w:hAnsi="Aptos"/>
                <w:b w:val="0"/>
                <w:color w:val="1F2933"/>
                <w:sz w:val="16"/>
              </w:rPr>
              <w:t>GR, RHOB QC, NMR where available, and local calibration.</w:t>
            </w:r>
          </w:p>
        </w:tc>
      </w:tr>
      <w:tr>
        <w:tc>
          <w:tcPr>
            <w:tcW w:type="dxa" w:w="1987"/>
          </w:tcPr>
          <w:p>
            <w:pPr>
              <w:spacing w:after="0" w:line="252" w:lineRule="auto"/>
            </w:pPr>
            <w:r/>
            <w:r>
              <w:rPr>
                <w:rFonts w:ascii="Aptos" w:hAnsi="Aptos"/>
                <w:b w:val="0"/>
                <w:color w:val="1F2933"/>
                <w:sz w:val="16"/>
              </w:rPr>
              <w:t>Vp</w:t>
            </w:r>
          </w:p>
        </w:tc>
        <w:tc>
          <w:tcPr>
            <w:tcW w:type="dxa" w:w="1987"/>
          </w:tcPr>
          <w:p>
            <w:pPr>
              <w:spacing w:after="0" w:line="252" w:lineRule="auto"/>
            </w:pPr>
            <w:r/>
            <w:r>
              <w:rPr>
                <w:rFonts w:ascii="Aptos" w:hAnsi="Aptos"/>
                <w:b w:val="0"/>
                <w:color w:val="1F2933"/>
                <w:sz w:val="16"/>
              </w:rPr>
              <w:t>Hydrate sand working anchor about 2.5-4.0; gas sand about 1.5-2.5.</w:t>
            </w:r>
          </w:p>
        </w:tc>
        <w:tc>
          <w:tcPr>
            <w:tcW w:type="dxa" w:w="1987"/>
          </w:tcPr>
          <w:p>
            <w:pPr>
              <w:spacing w:after="0" w:line="252" w:lineRule="auto"/>
            </w:pPr>
            <w:r/>
            <w:r>
              <w:rPr>
                <w:rFonts w:ascii="Aptos" w:hAnsi="Aptos"/>
                <w:b w:val="0"/>
                <w:color w:val="1F2933"/>
                <w:sz w:val="16"/>
              </w:rPr>
              <w:t>Hydrate frame stiffening can increase compressional velocity; gas tends to soften the response.</w:t>
            </w:r>
          </w:p>
        </w:tc>
        <w:tc>
          <w:tcPr>
            <w:tcW w:type="dxa" w:w="1987"/>
          </w:tcPr>
          <w:p>
            <w:pPr>
              <w:spacing w:after="0" w:line="252" w:lineRule="auto"/>
            </w:pPr>
            <w:r/>
            <w:r>
              <w:rPr>
                <w:rFonts w:ascii="Aptos" w:hAnsi="Aptos"/>
                <w:b w:val="0"/>
                <w:color w:val="1F2933"/>
                <w:sz w:val="16"/>
              </w:rPr>
              <w:t>Stress, cementation, ice-bearing sediment, carbonate, and competent clastics.</w:t>
            </w:r>
          </w:p>
        </w:tc>
        <w:tc>
          <w:tcPr>
            <w:tcW w:type="dxa" w:w="1987"/>
          </w:tcPr>
          <w:p>
            <w:pPr>
              <w:spacing w:after="0" w:line="252" w:lineRule="auto"/>
            </w:pPr>
            <w:r/>
            <w:r>
              <w:rPr>
                <w:rFonts w:ascii="Aptos" w:hAnsi="Aptos"/>
                <w:b w:val="0"/>
                <w:color w:val="1F2933"/>
                <w:sz w:val="16"/>
              </w:rPr>
              <w:t>Vs, RHOB, GR/lithology, stress context, and P-T screen.</w:t>
            </w:r>
          </w:p>
        </w:tc>
      </w:tr>
      <w:tr>
        <w:tc>
          <w:tcPr>
            <w:tcW w:type="dxa" w:w="1987"/>
          </w:tcPr>
          <w:p>
            <w:pPr>
              <w:spacing w:after="0" w:line="252" w:lineRule="auto"/>
            </w:pPr>
            <w:r/>
            <w:r>
              <w:rPr>
                <w:rFonts w:ascii="Aptos" w:hAnsi="Aptos"/>
                <w:b w:val="0"/>
                <w:color w:val="1F2933"/>
                <w:sz w:val="16"/>
              </w:rPr>
              <w:t>Vs</w:t>
            </w:r>
          </w:p>
        </w:tc>
        <w:tc>
          <w:tcPr>
            <w:tcW w:type="dxa" w:w="1987"/>
          </w:tcPr>
          <w:p>
            <w:pPr>
              <w:spacing w:after="0" w:line="252" w:lineRule="auto"/>
            </w:pPr>
            <w:r/>
            <w:r>
              <w:rPr>
                <w:rFonts w:ascii="Aptos" w:hAnsi="Aptos"/>
                <w:b w:val="0"/>
                <w:color w:val="1F2933"/>
                <w:sz w:val="16"/>
              </w:rPr>
              <w:t>Hydrate sand working anchor about 1.0-2.5; gas sand about 0.3-1.0.</w:t>
            </w:r>
          </w:p>
        </w:tc>
        <w:tc>
          <w:tcPr>
            <w:tcW w:type="dxa" w:w="1987"/>
          </w:tcPr>
          <w:p>
            <w:pPr>
              <w:spacing w:after="0" w:line="252" w:lineRule="auto"/>
            </w:pPr>
            <w:r/>
            <w:r>
              <w:rPr>
                <w:rFonts w:ascii="Aptos" w:hAnsi="Aptos"/>
                <w:b w:val="0"/>
                <w:color w:val="1F2933"/>
                <w:sz w:val="16"/>
              </w:rPr>
              <w:t>Shear response helps identify rigidity increase and separate hydrate from gas-related compressibility.</w:t>
            </w:r>
          </w:p>
        </w:tc>
        <w:tc>
          <w:tcPr>
            <w:tcW w:type="dxa" w:w="1987"/>
          </w:tcPr>
          <w:p>
            <w:pPr>
              <w:spacing w:after="0" w:line="252" w:lineRule="auto"/>
            </w:pPr>
            <w:r/>
            <w:r>
              <w:rPr>
                <w:rFonts w:ascii="Aptos" w:hAnsi="Aptos"/>
                <w:b w:val="0"/>
                <w:color w:val="1F2933"/>
                <w:sz w:val="16"/>
              </w:rPr>
              <w:t>Stress, ice-bearing sediment, competent lithology, and missing or unreliable DTS.</w:t>
            </w:r>
          </w:p>
        </w:tc>
        <w:tc>
          <w:tcPr>
            <w:tcW w:type="dxa" w:w="1987"/>
          </w:tcPr>
          <w:p>
            <w:pPr>
              <w:spacing w:after="0" w:line="252" w:lineRule="auto"/>
            </w:pPr>
            <w:r/>
            <w:r>
              <w:rPr>
                <w:rFonts w:ascii="Aptos" w:hAnsi="Aptos"/>
                <w:b w:val="0"/>
                <w:color w:val="1F2933"/>
                <w:sz w:val="16"/>
              </w:rPr>
              <w:t>Vp, density, GR/lithology, tool QC, and depth context.</w:t>
            </w:r>
          </w:p>
        </w:tc>
      </w:tr>
      <w:tr>
        <w:tc>
          <w:tcPr>
            <w:tcW w:type="dxa" w:w="1987"/>
          </w:tcPr>
          <w:p>
            <w:pPr>
              <w:spacing w:after="0" w:line="252" w:lineRule="auto"/>
            </w:pPr>
            <w:r/>
            <w:r>
              <w:rPr>
                <w:rFonts w:ascii="Aptos" w:hAnsi="Aptos"/>
                <w:b w:val="0"/>
                <w:color w:val="1F2933"/>
                <w:sz w:val="16"/>
              </w:rPr>
              <w:t>lambda-rho</w:t>
            </w:r>
          </w:p>
        </w:tc>
        <w:tc>
          <w:tcPr>
            <w:tcW w:type="dxa" w:w="1987"/>
          </w:tcPr>
          <w:p>
            <w:pPr>
              <w:spacing w:after="0" w:line="252" w:lineRule="auto"/>
            </w:pPr>
            <w:r/>
            <w:r>
              <w:rPr>
                <w:rFonts w:ascii="Aptos" w:hAnsi="Aptos"/>
                <w:b w:val="0"/>
                <w:color w:val="1F2933"/>
                <w:sz w:val="16"/>
              </w:rPr>
              <w:t>Hydrate sand working anchor about 12-55 in Table A.2; end-member crossplots require local calibration.</w:t>
            </w:r>
          </w:p>
        </w:tc>
        <w:tc>
          <w:tcPr>
            <w:tcW w:type="dxa" w:w="1987"/>
          </w:tcPr>
          <w:p>
            <w:pPr>
              <w:spacing w:after="0" w:line="252" w:lineRule="auto"/>
            </w:pPr>
            <w:r/>
            <w:r>
              <w:rPr>
                <w:rFonts w:ascii="Aptos" w:hAnsi="Aptos"/>
                <w:b w:val="0"/>
                <w:color w:val="1F2933"/>
                <w:sz w:val="16"/>
              </w:rPr>
              <w:t>Lambda-rho helps characterize compressibility and fluid-sensitive elastic behavior.</w:t>
            </w:r>
          </w:p>
        </w:tc>
        <w:tc>
          <w:tcPr>
            <w:tcW w:type="dxa" w:w="1987"/>
          </w:tcPr>
          <w:p>
            <w:pPr>
              <w:spacing w:after="0" w:line="252" w:lineRule="auto"/>
            </w:pPr>
            <w:r/>
            <w:r>
              <w:rPr>
                <w:rFonts w:ascii="Aptos" w:hAnsi="Aptos"/>
                <w:b w:val="0"/>
                <w:color w:val="1F2933"/>
                <w:sz w:val="16"/>
              </w:rPr>
              <w:t>Gas, shale, carbonates, stress, and mixed intervals.</w:t>
            </w:r>
          </w:p>
        </w:tc>
        <w:tc>
          <w:tcPr>
            <w:tcW w:type="dxa" w:w="1987"/>
          </w:tcPr>
          <w:p>
            <w:pPr>
              <w:spacing w:after="0" w:line="252" w:lineRule="auto"/>
            </w:pPr>
            <w:r/>
            <w:r>
              <w:rPr>
                <w:rFonts w:ascii="Aptos" w:hAnsi="Aptos"/>
                <w:b w:val="0"/>
                <w:color w:val="1F2933"/>
                <w:sz w:val="16"/>
              </w:rPr>
              <w:t>mu-rho, Vp/Vs, GR, RHOB, and local core/log review.</w:t>
            </w:r>
          </w:p>
        </w:tc>
      </w:tr>
      <w:tr>
        <w:tc>
          <w:tcPr>
            <w:tcW w:type="dxa" w:w="1987"/>
          </w:tcPr>
          <w:p>
            <w:pPr>
              <w:spacing w:after="0" w:line="252" w:lineRule="auto"/>
            </w:pPr>
            <w:r/>
            <w:r>
              <w:rPr>
                <w:rFonts w:ascii="Aptos" w:hAnsi="Aptos"/>
                <w:b w:val="0"/>
                <w:color w:val="1F2933"/>
                <w:sz w:val="16"/>
              </w:rPr>
              <w:t>mu-rho</w:t>
            </w:r>
          </w:p>
        </w:tc>
        <w:tc>
          <w:tcPr>
            <w:tcW w:type="dxa" w:w="1987"/>
          </w:tcPr>
          <w:p>
            <w:pPr>
              <w:spacing w:after="0" w:line="252" w:lineRule="auto"/>
            </w:pPr>
            <w:r/>
            <w:r>
              <w:rPr>
                <w:rFonts w:ascii="Aptos" w:hAnsi="Aptos"/>
                <w:b w:val="0"/>
                <w:color w:val="1F2933"/>
                <w:sz w:val="16"/>
              </w:rPr>
              <w:t>Hydrate sand working anchor about 10-55; gas sand about 1-10.</w:t>
            </w:r>
          </w:p>
        </w:tc>
        <w:tc>
          <w:tcPr>
            <w:tcW w:type="dxa" w:w="1987"/>
          </w:tcPr>
          <w:p>
            <w:pPr>
              <w:spacing w:after="0" w:line="252" w:lineRule="auto"/>
            </w:pPr>
            <w:r/>
            <w:r>
              <w:rPr>
                <w:rFonts w:ascii="Aptos" w:hAnsi="Aptos"/>
                <w:b w:val="0"/>
                <w:color w:val="1F2933"/>
                <w:sz w:val="16"/>
              </w:rPr>
              <w:t>Rigidity increase is a useful hydrate-supportive tendency when shear data are reliable.</w:t>
            </w:r>
          </w:p>
        </w:tc>
        <w:tc>
          <w:tcPr>
            <w:tcW w:type="dxa" w:w="1987"/>
          </w:tcPr>
          <w:p>
            <w:pPr>
              <w:spacing w:after="0" w:line="252" w:lineRule="auto"/>
            </w:pPr>
            <w:r/>
            <w:r>
              <w:rPr>
                <w:rFonts w:ascii="Aptos" w:hAnsi="Aptos"/>
                <w:b w:val="0"/>
                <w:color w:val="1F2933"/>
                <w:sz w:val="16"/>
              </w:rPr>
              <w:t>Ice-bearing sediment, shale, carbonates, competent sand, and stress.</w:t>
            </w:r>
          </w:p>
        </w:tc>
        <w:tc>
          <w:tcPr>
            <w:tcW w:type="dxa" w:w="1987"/>
          </w:tcPr>
          <w:p>
            <w:pPr>
              <w:spacing w:after="0" w:line="252" w:lineRule="auto"/>
            </w:pPr>
            <w:r/>
            <w:r>
              <w:rPr>
                <w:rFonts w:ascii="Aptos" w:hAnsi="Aptos"/>
                <w:b w:val="0"/>
                <w:color w:val="1F2933"/>
                <w:sz w:val="16"/>
              </w:rPr>
              <w:t>lambda-rho, Vp/Vs, GR/lithology, depth relative to permafrost, and P-T context.</w:t>
            </w:r>
          </w:p>
        </w:tc>
      </w:tr>
      <w:tr>
        <w:tc>
          <w:tcPr>
            <w:tcW w:type="dxa" w:w="1987"/>
          </w:tcPr>
          <w:p>
            <w:pPr>
              <w:spacing w:after="0" w:line="252" w:lineRule="auto"/>
            </w:pPr>
            <w:r/>
            <w:r>
              <w:rPr>
                <w:rFonts w:ascii="Aptos" w:hAnsi="Aptos"/>
                <w:b w:val="0"/>
                <w:color w:val="1F2933"/>
                <w:sz w:val="16"/>
              </w:rPr>
              <w:t>NMR-density separation</w:t>
            </w:r>
          </w:p>
        </w:tc>
        <w:tc>
          <w:tcPr>
            <w:tcW w:type="dxa" w:w="1987"/>
          </w:tcPr>
          <w:p>
            <w:pPr>
              <w:spacing w:after="0" w:line="252" w:lineRule="auto"/>
            </w:pPr>
            <w:r/>
            <w:r>
              <w:rPr>
                <w:rFonts w:ascii="Aptos" w:hAnsi="Aptos"/>
                <w:b w:val="0"/>
                <w:color w:val="1F2933"/>
                <w:sz w:val="16"/>
              </w:rPr>
              <w:t>Positive density-minus-NMR porosity separation supports a mobile-fluid-deficit screen.</w:t>
            </w:r>
          </w:p>
        </w:tc>
        <w:tc>
          <w:tcPr>
            <w:tcW w:type="dxa" w:w="1987"/>
          </w:tcPr>
          <w:p>
            <w:pPr>
              <w:spacing w:after="0" w:line="252" w:lineRule="auto"/>
            </w:pPr>
            <w:r/>
            <w:r>
              <w:rPr>
                <w:rFonts w:ascii="Aptos" w:hAnsi="Aptos"/>
                <w:b w:val="0"/>
                <w:color w:val="1F2933"/>
                <w:sz w:val="16"/>
              </w:rPr>
              <w:t>The manuscript prefers NMR-density saturation where NMR exists.</w:t>
            </w:r>
          </w:p>
        </w:tc>
        <w:tc>
          <w:tcPr>
            <w:tcW w:type="dxa" w:w="1987"/>
          </w:tcPr>
          <w:p>
            <w:pPr>
              <w:spacing w:after="0" w:line="252" w:lineRule="auto"/>
            </w:pPr>
            <w:r/>
            <w:r>
              <w:rPr>
                <w:rFonts w:ascii="Aptos" w:hAnsi="Aptos"/>
                <w:b w:val="0"/>
                <w:color w:val="1F2933"/>
                <w:sz w:val="16"/>
              </w:rPr>
              <w:t>Tool quality, depth mismatch, shale response, and matrix assumptions.</w:t>
            </w:r>
          </w:p>
        </w:tc>
        <w:tc>
          <w:tcPr>
            <w:tcW w:type="dxa" w:w="1987"/>
          </w:tcPr>
          <w:p>
            <w:pPr>
              <w:spacing w:after="0" w:line="252" w:lineRule="auto"/>
            </w:pPr>
            <w:r/>
            <w:r>
              <w:rPr>
                <w:rFonts w:ascii="Aptos" w:hAnsi="Aptos"/>
                <w:b w:val="0"/>
                <w:color w:val="1F2933"/>
                <w:sz w:val="16"/>
              </w:rPr>
              <w:t>Density QC, local depth alignment, GR/lithology, and core calibration.</w:t>
            </w:r>
          </w:p>
        </w:tc>
      </w:tr>
      <w:tr>
        <w:tc>
          <w:tcPr>
            <w:tcW w:type="dxa" w:w="1987"/>
          </w:tcPr>
          <w:p>
            <w:pPr>
              <w:spacing w:after="0" w:line="252" w:lineRule="auto"/>
            </w:pPr>
            <w:r/>
            <w:r>
              <w:rPr>
                <w:rFonts w:ascii="Aptos" w:hAnsi="Aptos"/>
                <w:b w:val="0"/>
                <w:color w:val="1F2933"/>
                <w:sz w:val="16"/>
              </w:rPr>
              <w:t>Temperature</w:t>
            </w:r>
          </w:p>
        </w:tc>
        <w:tc>
          <w:tcPr>
            <w:tcW w:type="dxa" w:w="1987"/>
          </w:tcPr>
          <w:p>
            <w:pPr>
              <w:spacing w:after="0" w:line="252" w:lineRule="auto"/>
            </w:pPr>
            <w:r/>
            <w:r>
              <w:rPr>
                <w:rFonts w:ascii="Aptos" w:hAnsi="Aptos"/>
                <w:b w:val="0"/>
                <w:color w:val="1F2933"/>
                <w:sz w:val="16"/>
              </w:rPr>
              <w:t>Use local T(z); North Slope example anchor starts near -10 deg C with 2.0-4.0 deg C/100 m gradients.</w:t>
            </w:r>
          </w:p>
        </w:tc>
        <w:tc>
          <w:tcPr>
            <w:tcW w:type="dxa" w:w="1987"/>
          </w:tcPr>
          <w:p>
            <w:pPr>
              <w:spacing w:after="0" w:line="252" w:lineRule="auto"/>
            </w:pPr>
            <w:r/>
            <w:r>
              <w:rPr>
                <w:rFonts w:ascii="Aptos" w:hAnsi="Aptos"/>
                <w:b w:val="0"/>
                <w:color w:val="1F2933"/>
                <w:sz w:val="16"/>
              </w:rPr>
              <w:t>Temperature is required for probabilistic stability admissibility.</w:t>
            </w:r>
          </w:p>
        </w:tc>
        <w:tc>
          <w:tcPr>
            <w:tcW w:type="dxa" w:w="1987"/>
          </w:tcPr>
          <w:p>
            <w:pPr>
              <w:spacing w:after="0" w:line="252" w:lineRule="auto"/>
            </w:pPr>
            <w:r/>
            <w:r>
              <w:rPr>
                <w:rFonts w:ascii="Aptos" w:hAnsi="Aptos"/>
                <w:b w:val="0"/>
                <w:color w:val="1F2933"/>
                <w:sz w:val="16"/>
              </w:rPr>
              <w:t>Local thermal anomalies, uncertain gradient, and non-equilibrium behavior.</w:t>
            </w:r>
          </w:p>
        </w:tc>
        <w:tc>
          <w:tcPr>
            <w:tcW w:type="dxa" w:w="1987"/>
          </w:tcPr>
          <w:p>
            <w:pPr>
              <w:spacing w:after="0" w:line="252" w:lineRule="auto"/>
            </w:pPr>
            <w:r/>
            <w:r>
              <w:rPr>
                <w:rFonts w:ascii="Aptos" w:hAnsi="Aptos"/>
                <w:b w:val="0"/>
                <w:color w:val="1F2933"/>
                <w:sz w:val="16"/>
              </w:rPr>
              <w:t>Pressure, depth reference, permafrost depth, and local thermal calibration.</w:t>
            </w:r>
          </w:p>
        </w:tc>
      </w:tr>
      <w:tr>
        <w:tc>
          <w:tcPr>
            <w:tcW w:type="dxa" w:w="1987"/>
          </w:tcPr>
          <w:p>
            <w:pPr>
              <w:spacing w:after="0" w:line="252" w:lineRule="auto"/>
            </w:pPr>
            <w:r/>
            <w:r>
              <w:rPr>
                <w:rFonts w:ascii="Aptos" w:hAnsi="Aptos"/>
                <w:b w:val="0"/>
                <w:color w:val="1F2933"/>
                <w:sz w:val="16"/>
              </w:rPr>
              <w:t>Pressure</w:t>
            </w:r>
          </w:p>
        </w:tc>
        <w:tc>
          <w:tcPr>
            <w:tcW w:type="dxa" w:w="1987"/>
          </w:tcPr>
          <w:p>
            <w:pPr>
              <w:spacing w:after="0" w:line="252" w:lineRule="auto"/>
            </w:pPr>
            <w:r/>
            <w:r>
              <w:rPr>
                <w:rFonts w:ascii="Aptos" w:hAnsi="Aptos"/>
                <w:b w:val="0"/>
                <w:color w:val="1F2933"/>
                <w:sz w:val="16"/>
              </w:rPr>
              <w:t>Use local P(z); first-pass hydrostatic anchor about 9.795 kPa/m.</w:t>
            </w:r>
          </w:p>
        </w:tc>
        <w:tc>
          <w:tcPr>
            <w:tcW w:type="dxa" w:w="1987"/>
          </w:tcPr>
          <w:p>
            <w:pPr>
              <w:spacing w:after="0" w:line="252" w:lineRule="auto"/>
            </w:pPr>
            <w:r/>
            <w:r>
              <w:rPr>
                <w:rFonts w:ascii="Aptos" w:hAnsi="Aptos"/>
                <w:b w:val="0"/>
                <w:color w:val="1F2933"/>
                <w:sz w:val="16"/>
              </w:rPr>
              <w:t>Pressure combines with temperature to define stability admissibility.</w:t>
            </w:r>
          </w:p>
        </w:tc>
        <w:tc>
          <w:tcPr>
            <w:tcW w:type="dxa" w:w="1987"/>
          </w:tcPr>
          <w:p>
            <w:pPr>
              <w:spacing w:after="0" w:line="252" w:lineRule="auto"/>
            </w:pPr>
            <w:r/>
            <w:r>
              <w:rPr>
                <w:rFonts w:ascii="Aptos" w:hAnsi="Aptos"/>
                <w:b w:val="0"/>
                <w:color w:val="1F2933"/>
                <w:sz w:val="16"/>
              </w:rPr>
              <w:t>Pressure anomalies, compositional effects, local stress, and uncertain depth reference.</w:t>
            </w:r>
          </w:p>
        </w:tc>
        <w:tc>
          <w:tcPr>
            <w:tcW w:type="dxa" w:w="1987"/>
          </w:tcPr>
          <w:p>
            <w:pPr>
              <w:spacing w:after="0" w:line="252" w:lineRule="auto"/>
            </w:pPr>
            <w:r/>
            <w:r>
              <w:rPr>
                <w:rFonts w:ascii="Aptos" w:hAnsi="Aptos"/>
                <w:b w:val="0"/>
                <w:color w:val="1F2933"/>
                <w:sz w:val="16"/>
              </w:rPr>
              <w:t>Temperature, depth reference, local pressure observations, and uncertainty bounds.</w:t>
            </w:r>
          </w:p>
        </w:tc>
      </w:tr>
    </w:tbl>
    <w:p/>
    <w:p>
      <w:pPr>
        <w:pStyle w:val="Heading1"/>
        <w:spacing w:before="280" w:after="100"/>
      </w:pPr>
      <w:r>
        <w:rPr>
          <w:rFonts w:ascii="Aptos Display" w:hAnsi="Aptos Display"/>
          <w:color w:val="123447"/>
        </w:rPr>
        <w:t>5. Overburden, Pressure, and Rock-Type Effects</w:t>
      </w:r>
    </w:p>
    <w:p>
      <w:pPr>
        <w:spacing w:after="120" w:line="269" w:lineRule="auto"/>
      </w:pPr>
      <w:r>
        <w:rPr>
          <w:rFonts w:ascii="Aptos" w:hAnsi="Aptos"/>
          <w:color w:val="1F2933"/>
          <w:sz w:val="20"/>
        </w:rPr>
        <w:t>Overburden and pore pressure affect the interpretation because increasing effective stress can compact sediments, reduce porosity, and increase velocity even without hydrate. Conversely, high pore pressure can reduce effective stress and alter mechanical response. The dashboard therefore calculates stress context as a review variable, not as a hydrate detector. Rock type is treated the same way: it changes the meaning of each curve and must be attached to every classification lane.</w:t>
      </w:r>
    </w:p>
    <w:tbl>
      <w:tblPr>
        <w:tblStyle w:val="TableGrid"/>
        <w:tblW w:type="auto" w:w="0"/>
        <w:tblLayout w:type="fixed"/>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2484"/>
        <w:gridCol w:w="2484"/>
        <w:gridCol w:w="2484"/>
        <w:gridCol w:w="2484"/>
      </w:tblGrid>
      <w:tr>
        <w:tc>
          <w:tcPr>
            <w:tcW w:type="dxa" w:w="1944"/>
            <w:vAlign w:val="center"/>
            <w:tcMar>
              <w:top w:w="80" w:type="dxa"/>
              <w:start w:w="120" w:type="dxa"/>
              <w:bottom w:w="80" w:type="dxa"/>
              <w:end w:w="120" w:type="dxa"/>
            </w:tcMar>
            <w:shd w:fill="123447"/>
          </w:tcPr>
          <w:p>
            <w:pPr>
              <w:spacing w:after="0" w:line="252" w:lineRule="auto"/>
            </w:pPr>
            <w:r/>
            <w:r>
              <w:rPr>
                <w:rFonts w:ascii="Aptos" w:hAnsi="Aptos"/>
                <w:b/>
                <w:color w:val="FFFFFF"/>
                <w:sz w:val="16"/>
              </w:rPr>
              <w:t>Rock/context</w:t>
            </w:r>
          </w:p>
        </w:tc>
        <w:tc>
          <w:tcPr>
            <w:tcW w:type="dxa" w:w="2880"/>
            <w:vAlign w:val="center"/>
            <w:tcMar>
              <w:top w:w="80" w:type="dxa"/>
              <w:start w:w="120" w:type="dxa"/>
              <w:bottom w:w="80" w:type="dxa"/>
              <w:end w:w="120" w:type="dxa"/>
            </w:tcMar>
            <w:shd w:fill="123447"/>
          </w:tcPr>
          <w:p>
            <w:pPr>
              <w:spacing w:after="0" w:line="252" w:lineRule="auto"/>
            </w:pPr>
            <w:r/>
            <w:r>
              <w:rPr>
                <w:rFonts w:ascii="Aptos" w:hAnsi="Aptos"/>
                <w:b/>
                <w:color w:val="FFFFFF"/>
                <w:sz w:val="16"/>
              </w:rPr>
              <w:t>Why it matters</w:t>
            </w:r>
          </w:p>
        </w:tc>
        <w:tc>
          <w:tcPr>
            <w:tcW w:type="dxa" w:w="2952"/>
            <w:vAlign w:val="center"/>
            <w:tcMar>
              <w:top w:w="80" w:type="dxa"/>
              <w:start w:w="120" w:type="dxa"/>
              <w:bottom w:w="80" w:type="dxa"/>
              <w:end w:w="120" w:type="dxa"/>
            </w:tcMar>
            <w:shd w:fill="123447"/>
          </w:tcPr>
          <w:p>
            <w:pPr>
              <w:spacing w:after="0" w:line="252" w:lineRule="auto"/>
            </w:pPr>
            <w:r/>
            <w:r>
              <w:rPr>
                <w:rFonts w:ascii="Aptos" w:hAnsi="Aptos"/>
                <w:b/>
                <w:color w:val="FFFFFF"/>
                <w:sz w:val="16"/>
              </w:rPr>
              <w:t>False-positive risk</w:t>
            </w:r>
          </w:p>
        </w:tc>
        <w:tc>
          <w:tcPr>
            <w:tcW w:type="dxa" w:w="2952"/>
            <w:vAlign w:val="center"/>
            <w:tcMar>
              <w:top w:w="80" w:type="dxa"/>
              <w:start w:w="120" w:type="dxa"/>
              <w:bottom w:w="80" w:type="dxa"/>
              <w:end w:w="120" w:type="dxa"/>
            </w:tcMar>
            <w:shd w:fill="123447"/>
          </w:tcPr>
          <w:p>
            <w:pPr>
              <w:spacing w:after="0" w:line="252" w:lineRule="auto"/>
            </w:pPr>
            <w:r/>
            <w:r>
              <w:rPr>
                <w:rFonts w:ascii="Aptos" w:hAnsi="Aptos"/>
                <w:b/>
                <w:color w:val="FFFFFF"/>
                <w:sz w:val="16"/>
              </w:rPr>
              <w:t>Model/dashboard response</w:t>
            </w:r>
          </w:p>
        </w:tc>
      </w:tr>
      <w:tr>
        <w:tc>
          <w:tcPr>
            <w:tcW w:type="dxa" w:w="2484"/>
          </w:tcPr>
          <w:p>
            <w:pPr>
              <w:spacing w:after="0" w:line="252" w:lineRule="auto"/>
            </w:pPr>
            <w:r/>
            <w:r>
              <w:rPr>
                <w:rFonts w:ascii="Aptos" w:hAnsi="Aptos"/>
                <w:b w:val="0"/>
                <w:color w:val="1F2933"/>
                <w:sz w:val="16"/>
              </w:rPr>
              <w:t>Clean sand</w:t>
            </w:r>
          </w:p>
        </w:tc>
        <w:tc>
          <w:tcPr>
            <w:tcW w:type="dxa" w:w="2484"/>
          </w:tcPr>
          <w:p>
            <w:pPr>
              <w:spacing w:after="0" w:line="252" w:lineRule="auto"/>
            </w:pPr>
            <w:r/>
            <w:r>
              <w:rPr>
                <w:rFonts w:ascii="Aptos" w:hAnsi="Aptos"/>
                <w:b w:val="0"/>
                <w:color w:val="1F2933"/>
                <w:sz w:val="16"/>
              </w:rPr>
              <w:t>Provides pore volume and likely permeability for hydrate occupancy.</w:t>
            </w:r>
          </w:p>
        </w:tc>
        <w:tc>
          <w:tcPr>
            <w:tcW w:type="dxa" w:w="2484"/>
          </w:tcPr>
          <w:p>
            <w:pPr>
              <w:spacing w:after="0" w:line="252" w:lineRule="auto"/>
            </w:pPr>
            <w:r/>
            <w:r>
              <w:rPr>
                <w:rFonts w:ascii="Aptos" w:hAnsi="Aptos"/>
                <w:b w:val="0"/>
                <w:color w:val="1F2933"/>
                <w:sz w:val="16"/>
              </w:rPr>
              <w:t>Can be water-bearing with no charge or hydrate occupancy.</w:t>
            </w:r>
          </w:p>
        </w:tc>
        <w:tc>
          <w:tcPr>
            <w:tcW w:type="dxa" w:w="2484"/>
          </w:tcPr>
          <w:p>
            <w:pPr>
              <w:spacing w:after="0" w:line="252" w:lineRule="auto"/>
            </w:pPr>
            <w:r/>
            <w:r>
              <w:rPr>
                <w:rFonts w:ascii="Aptos" w:hAnsi="Aptos"/>
                <w:b w:val="0"/>
                <w:color w:val="1F2933"/>
                <w:sz w:val="16"/>
              </w:rPr>
              <w:t>Eligible for reservoir-quality score and phase-evidence review.</w:t>
            </w:r>
          </w:p>
        </w:tc>
      </w:tr>
      <w:tr>
        <w:tc>
          <w:tcPr>
            <w:tcW w:type="dxa" w:w="2484"/>
          </w:tcPr>
          <w:p>
            <w:pPr>
              <w:spacing w:after="0" w:line="252" w:lineRule="auto"/>
            </w:pPr>
            <w:r/>
            <w:r>
              <w:rPr>
                <w:rFonts w:ascii="Aptos" w:hAnsi="Aptos"/>
                <w:b w:val="0"/>
                <w:color w:val="1F2933"/>
                <w:sz w:val="16"/>
              </w:rPr>
              <w:t>Shaly or bentonitic sand</w:t>
            </w:r>
          </w:p>
        </w:tc>
        <w:tc>
          <w:tcPr>
            <w:tcW w:type="dxa" w:w="2484"/>
          </w:tcPr>
          <w:p>
            <w:pPr>
              <w:spacing w:after="0" w:line="252" w:lineRule="auto"/>
            </w:pPr>
            <w:r/>
            <w:r>
              <w:rPr>
                <w:rFonts w:ascii="Aptos" w:hAnsi="Aptos"/>
                <w:b w:val="0"/>
                <w:color w:val="1F2933"/>
                <w:sz w:val="16"/>
              </w:rPr>
              <w:t>May host thin or mixed hydrate-bearing layers.</w:t>
            </w:r>
          </w:p>
        </w:tc>
        <w:tc>
          <w:tcPr>
            <w:tcW w:type="dxa" w:w="2484"/>
          </w:tcPr>
          <w:p>
            <w:pPr>
              <w:spacing w:after="0" w:line="252" w:lineRule="auto"/>
            </w:pPr>
            <w:r/>
            <w:r>
              <w:rPr>
                <w:rFonts w:ascii="Aptos" w:hAnsi="Aptos"/>
                <w:b w:val="0"/>
                <w:color w:val="1F2933"/>
                <w:sz w:val="16"/>
              </w:rPr>
              <w:t>Clay conductivity, bound water, and radioactive minerals distort GR/Rt/porosity transforms.</w:t>
            </w:r>
          </w:p>
        </w:tc>
        <w:tc>
          <w:tcPr>
            <w:tcW w:type="dxa" w:w="2484"/>
          </w:tcPr>
          <w:p>
            <w:pPr>
              <w:spacing w:after="0" w:line="252" w:lineRule="auto"/>
            </w:pPr>
            <w:r/>
            <w:r>
              <w:rPr>
                <w:rFonts w:ascii="Aptos" w:hAnsi="Aptos"/>
                <w:b w:val="0"/>
                <w:color w:val="1F2933"/>
                <w:sz w:val="16"/>
              </w:rPr>
              <w:t>Downgrade confidence and require NMR/core/facies support.</w:t>
            </w:r>
          </w:p>
        </w:tc>
      </w:tr>
      <w:tr>
        <w:tc>
          <w:tcPr>
            <w:tcW w:type="dxa" w:w="2484"/>
          </w:tcPr>
          <w:p>
            <w:pPr>
              <w:spacing w:after="0" w:line="252" w:lineRule="auto"/>
            </w:pPr>
            <w:r/>
            <w:r>
              <w:rPr>
                <w:rFonts w:ascii="Aptos" w:hAnsi="Aptos"/>
                <w:b w:val="0"/>
                <w:color w:val="1F2933"/>
                <w:sz w:val="16"/>
              </w:rPr>
              <w:t>Ice-bearing sediment / permafrost</w:t>
            </w:r>
          </w:p>
        </w:tc>
        <w:tc>
          <w:tcPr>
            <w:tcW w:type="dxa" w:w="2484"/>
          </w:tcPr>
          <w:p>
            <w:pPr>
              <w:spacing w:after="0" w:line="252" w:lineRule="auto"/>
            </w:pPr>
            <w:r/>
            <w:r>
              <w:rPr>
                <w:rFonts w:ascii="Aptos" w:hAnsi="Aptos"/>
                <w:b w:val="0"/>
                <w:color w:val="1F2933"/>
                <w:sz w:val="16"/>
              </w:rPr>
              <w:t>Can be stiff and resistive in hydrate stability settings.</w:t>
            </w:r>
          </w:p>
        </w:tc>
        <w:tc>
          <w:tcPr>
            <w:tcW w:type="dxa" w:w="2484"/>
          </w:tcPr>
          <w:p>
            <w:pPr>
              <w:spacing w:after="0" w:line="252" w:lineRule="auto"/>
            </w:pPr>
            <w:r/>
            <w:r>
              <w:rPr>
                <w:rFonts w:ascii="Aptos" w:hAnsi="Aptos"/>
                <w:b w:val="0"/>
                <w:color w:val="1F2933"/>
                <w:sz w:val="16"/>
              </w:rPr>
              <w:t>Ice can overlap hydrate in Vs, mu-rho, and resistivity behavior.</w:t>
            </w:r>
          </w:p>
        </w:tc>
        <w:tc>
          <w:tcPr>
            <w:tcW w:type="dxa" w:w="2484"/>
          </w:tcPr>
          <w:p>
            <w:pPr>
              <w:spacing w:after="0" w:line="252" w:lineRule="auto"/>
            </w:pPr>
            <w:r/>
            <w:r>
              <w:rPr>
                <w:rFonts w:ascii="Aptos" w:hAnsi="Aptos"/>
                <w:b w:val="0"/>
                <w:color w:val="1F2933"/>
                <w:sz w:val="16"/>
              </w:rPr>
              <w:t>Require depth/permafrost and P-T context before hydrate promotion.</w:t>
            </w:r>
          </w:p>
        </w:tc>
      </w:tr>
      <w:tr>
        <w:tc>
          <w:tcPr>
            <w:tcW w:type="dxa" w:w="2484"/>
          </w:tcPr>
          <w:p>
            <w:pPr>
              <w:spacing w:after="0" w:line="252" w:lineRule="auto"/>
            </w:pPr>
            <w:r/>
            <w:r>
              <w:rPr>
                <w:rFonts w:ascii="Aptos" w:hAnsi="Aptos"/>
                <w:b w:val="0"/>
                <w:color w:val="1F2933"/>
                <w:sz w:val="16"/>
              </w:rPr>
              <w:t>Free-gas sand</w:t>
            </w:r>
          </w:p>
        </w:tc>
        <w:tc>
          <w:tcPr>
            <w:tcW w:type="dxa" w:w="2484"/>
          </w:tcPr>
          <w:p>
            <w:pPr>
              <w:spacing w:after="0" w:line="252" w:lineRule="auto"/>
            </w:pPr>
            <w:r/>
            <w:r>
              <w:rPr>
                <w:rFonts w:ascii="Aptos" w:hAnsi="Aptos"/>
                <w:b w:val="0"/>
                <w:color w:val="1F2933"/>
                <w:sz w:val="16"/>
              </w:rPr>
              <w:t>Can share high resistivity with hydrate-bearing intervals.</w:t>
            </w:r>
          </w:p>
        </w:tc>
        <w:tc>
          <w:tcPr>
            <w:tcW w:type="dxa" w:w="2484"/>
          </w:tcPr>
          <w:p>
            <w:pPr>
              <w:spacing w:after="0" w:line="252" w:lineRule="auto"/>
            </w:pPr>
            <w:r/>
            <w:r>
              <w:rPr>
                <w:rFonts w:ascii="Aptos" w:hAnsi="Aptos"/>
                <w:b w:val="0"/>
                <w:color w:val="1F2933"/>
                <w:sz w:val="16"/>
              </w:rPr>
              <w:t>Gas often lowers Vp and weakens lambda-rho compared with hydrate.</w:t>
            </w:r>
          </w:p>
        </w:tc>
        <w:tc>
          <w:tcPr>
            <w:tcW w:type="dxa" w:w="2484"/>
          </w:tcPr>
          <w:p>
            <w:pPr>
              <w:spacing w:after="0" w:line="252" w:lineRule="auto"/>
            </w:pPr>
            <w:r/>
            <w:r>
              <w:rPr>
                <w:rFonts w:ascii="Aptos" w:hAnsi="Aptos"/>
                <w:b w:val="0"/>
                <w:color w:val="1F2933"/>
                <w:sz w:val="16"/>
              </w:rPr>
              <w:t>High Rt plus low Vp/elastic weakness routes to gas-supportive or expert-review lanes.</w:t>
            </w:r>
          </w:p>
        </w:tc>
      </w:tr>
      <w:tr>
        <w:tc>
          <w:tcPr>
            <w:tcW w:type="dxa" w:w="2484"/>
          </w:tcPr>
          <w:p>
            <w:pPr>
              <w:spacing w:after="0" w:line="252" w:lineRule="auto"/>
            </w:pPr>
            <w:r/>
            <w:r>
              <w:rPr>
                <w:rFonts w:ascii="Aptos" w:hAnsi="Aptos"/>
                <w:b w:val="0"/>
                <w:color w:val="1F2933"/>
                <w:sz w:val="16"/>
              </w:rPr>
              <w:t>Coal/lignite or carbonate/competent rock</w:t>
            </w:r>
          </w:p>
        </w:tc>
        <w:tc>
          <w:tcPr>
            <w:tcW w:type="dxa" w:w="2484"/>
          </w:tcPr>
          <w:p>
            <w:pPr>
              <w:spacing w:after="0" w:line="252" w:lineRule="auto"/>
            </w:pPr>
            <w:r/>
            <w:r>
              <w:rPr>
                <w:rFonts w:ascii="Aptos" w:hAnsi="Aptos"/>
                <w:b w:val="0"/>
                <w:color w:val="1F2933"/>
                <w:sz w:val="16"/>
              </w:rPr>
              <w:t>Important regional lithologies and mechanical end members.</w:t>
            </w:r>
          </w:p>
        </w:tc>
        <w:tc>
          <w:tcPr>
            <w:tcW w:type="dxa" w:w="2484"/>
          </w:tcPr>
          <w:p>
            <w:pPr>
              <w:spacing w:after="0" w:line="252" w:lineRule="auto"/>
            </w:pPr>
            <w:r/>
            <w:r>
              <w:rPr>
                <w:rFonts w:ascii="Aptos" w:hAnsi="Aptos"/>
                <w:b w:val="0"/>
                <w:color w:val="1F2933"/>
                <w:sz w:val="16"/>
              </w:rPr>
              <w:t>Can create high/low density, high resistivity, or high stiffness unrelated to hydrate.</w:t>
            </w:r>
          </w:p>
        </w:tc>
        <w:tc>
          <w:tcPr>
            <w:tcW w:type="dxa" w:w="2484"/>
          </w:tcPr>
          <w:p>
            <w:pPr>
              <w:spacing w:after="0" w:line="252" w:lineRule="auto"/>
            </w:pPr>
            <w:r/>
            <w:r>
              <w:rPr>
                <w:rFonts w:ascii="Aptos" w:hAnsi="Aptos"/>
                <w:b w:val="0"/>
                <w:color w:val="1F2933"/>
                <w:sz w:val="16"/>
              </w:rPr>
              <w:t>Treat as competing lithology until local log/core evidence resolves it.</w:t>
            </w:r>
          </w:p>
        </w:tc>
      </w:tr>
    </w:tbl>
    <w:p/>
    <w:p>
      <w:pPr>
        <w:pStyle w:val="Heading1"/>
        <w:spacing w:before="280" w:after="100"/>
      </w:pPr>
      <w:r>
        <w:rPr>
          <w:rFonts w:ascii="Aptos Display" w:hAnsi="Aptos Display"/>
          <w:color w:val="123447"/>
        </w:rPr>
        <w:t>6. Staged Classification Workflow</w:t>
      </w:r>
    </w:p>
    <w:p>
      <w:pPr>
        <w:spacing w:after="120" w:line="269" w:lineRule="auto"/>
      </w:pPr>
      <w:r>
        <w:rPr>
          <w:rFonts w:ascii="Aptos" w:hAnsi="Aptos"/>
          <w:color w:val="1F2933"/>
          <w:sz w:val="20"/>
        </w:rPr>
        <w:t>The classifier should act like a disciplined interpreter. It should not jump from a curve value to a label. It should carry an interval through gates, keep uncertainty visible, and preserve good-sand/no-hydrate and expert-review outcomes as valid scientific results.</w:t>
      </w:r>
    </w:p>
    <w:tbl>
      <w:tblPr>
        <w:tblStyle w:val="TableGrid"/>
        <w:tblW w:type="auto" w:w="0"/>
        <w:tblLayout w:type="fixed"/>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2484"/>
        <w:gridCol w:w="2484"/>
        <w:gridCol w:w="2484"/>
        <w:gridCol w:w="2484"/>
      </w:tblGrid>
      <w:tr>
        <w:tc>
          <w:tcPr>
            <w:tcW w:type="dxa" w:w="1728"/>
            <w:vAlign w:val="center"/>
            <w:tcMar>
              <w:top w:w="80" w:type="dxa"/>
              <w:start w:w="120" w:type="dxa"/>
              <w:bottom w:w="80" w:type="dxa"/>
              <w:end w:w="120" w:type="dxa"/>
            </w:tcMar>
            <w:shd w:fill="167D8D"/>
          </w:tcPr>
          <w:p>
            <w:pPr>
              <w:spacing w:after="0" w:line="252" w:lineRule="auto"/>
            </w:pPr>
            <w:r/>
            <w:r>
              <w:rPr>
                <w:rFonts w:ascii="Aptos" w:hAnsi="Aptos"/>
                <w:b/>
                <w:color w:val="FFFFFF"/>
                <w:sz w:val="16"/>
              </w:rPr>
              <w:t>Stage</w:t>
            </w:r>
          </w:p>
        </w:tc>
        <w:tc>
          <w:tcPr>
            <w:tcW w:type="dxa" w:w="3096"/>
            <w:vAlign w:val="center"/>
            <w:tcMar>
              <w:top w:w="80" w:type="dxa"/>
              <w:start w:w="120" w:type="dxa"/>
              <w:bottom w:w="80" w:type="dxa"/>
              <w:end w:w="120" w:type="dxa"/>
            </w:tcMar>
            <w:shd w:fill="167D8D"/>
          </w:tcPr>
          <w:p>
            <w:pPr>
              <w:spacing w:after="0" w:line="252" w:lineRule="auto"/>
            </w:pPr>
            <w:r/>
            <w:r>
              <w:rPr>
                <w:rFonts w:ascii="Aptos" w:hAnsi="Aptos"/>
                <w:b/>
                <w:color w:val="FFFFFF"/>
                <w:sz w:val="16"/>
              </w:rPr>
              <w:t>Question</w:t>
            </w:r>
          </w:p>
        </w:tc>
        <w:tc>
          <w:tcPr>
            <w:tcW w:type="dxa" w:w="2952"/>
            <w:vAlign w:val="center"/>
            <w:tcMar>
              <w:top w:w="80" w:type="dxa"/>
              <w:start w:w="120" w:type="dxa"/>
              <w:bottom w:w="80" w:type="dxa"/>
              <w:end w:w="120" w:type="dxa"/>
            </w:tcMar>
            <w:shd w:fill="167D8D"/>
          </w:tcPr>
          <w:p>
            <w:pPr>
              <w:spacing w:after="0" w:line="252" w:lineRule="auto"/>
            </w:pPr>
            <w:r/>
            <w:r>
              <w:rPr>
                <w:rFonts w:ascii="Aptos" w:hAnsi="Aptos"/>
                <w:b/>
                <w:color w:val="FFFFFF"/>
                <w:sz w:val="16"/>
              </w:rPr>
              <w:t>Primary variables</w:t>
            </w:r>
          </w:p>
        </w:tc>
        <w:tc>
          <w:tcPr>
            <w:tcW w:type="dxa" w:w="3312"/>
            <w:vAlign w:val="center"/>
            <w:tcMar>
              <w:top w:w="80" w:type="dxa"/>
              <w:start w:w="120" w:type="dxa"/>
              <w:bottom w:w="80" w:type="dxa"/>
              <w:end w:w="120" w:type="dxa"/>
            </w:tcMar>
            <w:shd w:fill="167D8D"/>
          </w:tcPr>
          <w:p>
            <w:pPr>
              <w:spacing w:after="0" w:line="252" w:lineRule="auto"/>
            </w:pPr>
            <w:r/>
            <w:r>
              <w:rPr>
                <w:rFonts w:ascii="Aptos" w:hAnsi="Aptos"/>
                <w:b/>
                <w:color w:val="FFFFFF"/>
                <w:sz w:val="16"/>
              </w:rPr>
              <w:t>Pass logic</w:t>
            </w:r>
          </w:p>
        </w:tc>
      </w:tr>
      <w:tr>
        <w:tc>
          <w:tcPr>
            <w:tcW w:type="dxa" w:w="2484"/>
          </w:tcPr>
          <w:p>
            <w:pPr>
              <w:spacing w:after="0" w:line="252" w:lineRule="auto"/>
            </w:pPr>
            <w:r/>
            <w:r>
              <w:rPr>
                <w:rFonts w:ascii="Aptos" w:hAnsi="Aptos"/>
                <w:b w:val="0"/>
                <w:color w:val="1F2933"/>
                <w:sz w:val="16"/>
              </w:rPr>
              <w:t>1. QC gate</w:t>
            </w:r>
          </w:p>
        </w:tc>
        <w:tc>
          <w:tcPr>
            <w:tcW w:type="dxa" w:w="2484"/>
          </w:tcPr>
          <w:p>
            <w:pPr>
              <w:spacing w:after="0" w:line="252" w:lineRule="auto"/>
            </w:pPr>
            <w:r/>
            <w:r>
              <w:rPr>
                <w:rFonts w:ascii="Aptos" w:hAnsi="Aptos"/>
                <w:b w:val="0"/>
                <w:color w:val="1F2933"/>
                <w:sz w:val="16"/>
              </w:rPr>
              <w:t>Are borehole conditions and curve coverage good enough?</w:t>
            </w:r>
          </w:p>
        </w:tc>
        <w:tc>
          <w:tcPr>
            <w:tcW w:type="dxa" w:w="2484"/>
          </w:tcPr>
          <w:p>
            <w:pPr>
              <w:spacing w:after="0" w:line="252" w:lineRule="auto"/>
            </w:pPr>
            <w:r/>
            <w:r>
              <w:rPr>
                <w:rFonts w:ascii="Aptos" w:hAnsi="Aptos"/>
                <w:b w:val="0"/>
                <w:color w:val="1F2933"/>
                <w:sz w:val="16"/>
              </w:rPr>
              <w:t>Caliper, missing DTS/NMR, curve depth alignment</w:t>
            </w:r>
          </w:p>
        </w:tc>
        <w:tc>
          <w:tcPr>
            <w:tcW w:type="dxa" w:w="2484"/>
          </w:tcPr>
          <w:p>
            <w:pPr>
              <w:spacing w:after="0" w:line="252" w:lineRule="auto"/>
            </w:pPr>
            <w:r/>
            <w:r>
              <w:rPr>
                <w:rFonts w:ascii="Aptos" w:hAnsi="Aptos"/>
                <w:b w:val="0"/>
                <w:color w:val="1F2933"/>
                <w:sz w:val="16"/>
              </w:rPr>
              <w:t>Bad-hole intervals remain review-only until density/sonic reliability is defensible.</w:t>
            </w:r>
          </w:p>
        </w:tc>
      </w:tr>
      <w:tr>
        <w:tc>
          <w:tcPr>
            <w:tcW w:type="dxa" w:w="2484"/>
          </w:tcPr>
          <w:p>
            <w:pPr>
              <w:spacing w:after="0" w:line="252" w:lineRule="auto"/>
            </w:pPr>
            <w:r/>
            <w:r>
              <w:rPr>
                <w:rFonts w:ascii="Aptos" w:hAnsi="Aptos"/>
                <w:b w:val="0"/>
                <w:color w:val="1F2933"/>
                <w:sz w:val="16"/>
              </w:rPr>
              <w:t>2. Stability gate</w:t>
            </w:r>
          </w:p>
        </w:tc>
        <w:tc>
          <w:tcPr>
            <w:tcW w:type="dxa" w:w="2484"/>
          </w:tcPr>
          <w:p>
            <w:pPr>
              <w:spacing w:after="0" w:line="252" w:lineRule="auto"/>
            </w:pPr>
            <w:r/>
            <w:r>
              <w:rPr>
                <w:rFonts w:ascii="Aptos" w:hAnsi="Aptos"/>
                <w:b w:val="0"/>
                <w:color w:val="1F2933"/>
                <w:sz w:val="16"/>
              </w:rPr>
              <w:t>Can hydrate physically exist at this depth?</w:t>
            </w:r>
          </w:p>
        </w:tc>
        <w:tc>
          <w:tcPr>
            <w:tcW w:type="dxa" w:w="2484"/>
          </w:tcPr>
          <w:p>
            <w:pPr>
              <w:spacing w:after="0" w:line="252" w:lineRule="auto"/>
            </w:pPr>
            <w:r/>
            <w:r>
              <w:rPr>
                <w:rFonts w:ascii="Aptos" w:hAnsi="Aptos"/>
                <w:b w:val="0"/>
                <w:color w:val="1F2933"/>
                <w:sz w:val="16"/>
              </w:rPr>
              <w:t>Temperature, pressure, depth, local gradient</w:t>
            </w:r>
          </w:p>
        </w:tc>
        <w:tc>
          <w:tcPr>
            <w:tcW w:type="dxa" w:w="2484"/>
          </w:tcPr>
          <w:p>
            <w:pPr>
              <w:spacing w:after="0" w:line="252" w:lineRule="auto"/>
            </w:pPr>
            <w:r/>
            <w:r>
              <w:rPr>
                <w:rFonts w:ascii="Aptos" w:hAnsi="Aptos"/>
                <w:b w:val="0"/>
                <w:color w:val="1F2933"/>
                <w:sz w:val="16"/>
              </w:rPr>
              <w:t>Inside working GHSZ permits evaluation; it does not prove hydrate.</w:t>
            </w:r>
          </w:p>
        </w:tc>
      </w:tr>
      <w:tr>
        <w:tc>
          <w:tcPr>
            <w:tcW w:type="dxa" w:w="2484"/>
          </w:tcPr>
          <w:p>
            <w:pPr>
              <w:spacing w:after="0" w:line="252" w:lineRule="auto"/>
            </w:pPr>
            <w:r/>
            <w:r>
              <w:rPr>
                <w:rFonts w:ascii="Aptos" w:hAnsi="Aptos"/>
                <w:b w:val="0"/>
                <w:color w:val="1F2933"/>
                <w:sz w:val="16"/>
              </w:rPr>
              <w:t>3. Rock-quality gate</w:t>
            </w:r>
          </w:p>
        </w:tc>
        <w:tc>
          <w:tcPr>
            <w:tcW w:type="dxa" w:w="2484"/>
          </w:tcPr>
          <w:p>
            <w:pPr>
              <w:spacing w:after="0" w:line="252" w:lineRule="auto"/>
            </w:pPr>
            <w:r/>
            <w:r>
              <w:rPr>
                <w:rFonts w:ascii="Aptos" w:hAnsi="Aptos"/>
                <w:b w:val="0"/>
                <w:color w:val="1F2933"/>
                <w:sz w:val="16"/>
              </w:rPr>
              <w:t>Is there enough clean, connected reservoir volume?</w:t>
            </w:r>
          </w:p>
        </w:tc>
        <w:tc>
          <w:tcPr>
            <w:tcW w:type="dxa" w:w="2484"/>
          </w:tcPr>
          <w:p>
            <w:pPr>
              <w:spacing w:after="0" w:line="252" w:lineRule="auto"/>
            </w:pPr>
            <w:r/>
            <w:r>
              <w:rPr>
                <w:rFonts w:ascii="Aptos" w:hAnsi="Aptos"/>
                <w:b w:val="0"/>
                <w:color w:val="1F2933"/>
                <w:sz w:val="16"/>
              </w:rPr>
              <w:t>GR/Vsh, density porosity, rock type, facies</w:t>
            </w:r>
          </w:p>
        </w:tc>
        <w:tc>
          <w:tcPr>
            <w:tcW w:type="dxa" w:w="2484"/>
          </w:tcPr>
          <w:p>
            <w:pPr>
              <w:spacing w:after="0" w:line="252" w:lineRule="auto"/>
            </w:pPr>
            <w:r/>
            <w:r>
              <w:rPr>
                <w:rFonts w:ascii="Aptos" w:hAnsi="Aptos"/>
                <w:b w:val="0"/>
                <w:color w:val="1F2933"/>
                <w:sz w:val="16"/>
              </w:rPr>
              <w:t>Clean porous sand is a candidate host; shale/coal/carbonate require separate handling.</w:t>
            </w:r>
          </w:p>
        </w:tc>
      </w:tr>
      <w:tr>
        <w:tc>
          <w:tcPr>
            <w:tcW w:type="dxa" w:w="2484"/>
          </w:tcPr>
          <w:p>
            <w:pPr>
              <w:spacing w:after="0" w:line="252" w:lineRule="auto"/>
            </w:pPr>
            <w:r/>
            <w:r>
              <w:rPr>
                <w:rFonts w:ascii="Aptos" w:hAnsi="Aptos"/>
                <w:b w:val="0"/>
                <w:color w:val="1F2933"/>
                <w:sz w:val="16"/>
              </w:rPr>
              <w:t>4. Phase-evidence gate</w:t>
            </w:r>
          </w:p>
        </w:tc>
        <w:tc>
          <w:tcPr>
            <w:tcW w:type="dxa" w:w="2484"/>
          </w:tcPr>
          <w:p>
            <w:pPr>
              <w:spacing w:after="0" w:line="252" w:lineRule="auto"/>
            </w:pPr>
            <w:r/>
            <w:r>
              <w:rPr>
                <w:rFonts w:ascii="Aptos" w:hAnsi="Aptos"/>
                <w:b w:val="0"/>
                <w:color w:val="1F2933"/>
                <w:sz w:val="16"/>
              </w:rPr>
              <w:t>Do electrical, sonic, density, and NMR responses agree?</w:t>
            </w:r>
          </w:p>
        </w:tc>
        <w:tc>
          <w:tcPr>
            <w:tcW w:type="dxa" w:w="2484"/>
          </w:tcPr>
          <w:p>
            <w:pPr>
              <w:spacing w:after="0" w:line="252" w:lineRule="auto"/>
            </w:pPr>
            <w:r/>
            <w:r>
              <w:rPr>
                <w:rFonts w:ascii="Aptos" w:hAnsi="Aptos"/>
                <w:b w:val="0"/>
                <w:color w:val="1F2933"/>
                <w:sz w:val="16"/>
              </w:rPr>
              <w:t>Rt, Vp, Vs, lambda-rho, mu-rho, NMR-density proxy</w:t>
            </w:r>
          </w:p>
        </w:tc>
        <w:tc>
          <w:tcPr>
            <w:tcW w:type="dxa" w:w="2484"/>
          </w:tcPr>
          <w:p>
            <w:pPr>
              <w:spacing w:after="0" w:line="252" w:lineRule="auto"/>
            </w:pPr>
            <w:r/>
            <w:r>
              <w:rPr>
                <w:rFonts w:ascii="Aptos" w:hAnsi="Aptos"/>
                <w:b w:val="0"/>
                <w:color w:val="1F2933"/>
                <w:sz w:val="16"/>
              </w:rPr>
              <w:t>Hydrate is promoted only when high Rt is supported by stiffness and saturation evidence.</w:t>
            </w:r>
          </w:p>
        </w:tc>
      </w:tr>
      <w:tr>
        <w:tc>
          <w:tcPr>
            <w:tcW w:type="dxa" w:w="2484"/>
          </w:tcPr>
          <w:p>
            <w:pPr>
              <w:spacing w:after="0" w:line="252" w:lineRule="auto"/>
            </w:pPr>
            <w:r/>
            <w:r>
              <w:rPr>
                <w:rFonts w:ascii="Aptos" w:hAnsi="Aptos"/>
                <w:b w:val="0"/>
                <w:color w:val="1F2933"/>
                <w:sz w:val="16"/>
              </w:rPr>
              <w:t>5. Competing-explanation gate</w:t>
            </w:r>
          </w:p>
        </w:tc>
        <w:tc>
          <w:tcPr>
            <w:tcW w:type="dxa" w:w="2484"/>
          </w:tcPr>
          <w:p>
            <w:pPr>
              <w:spacing w:after="0" w:line="252" w:lineRule="auto"/>
            </w:pPr>
            <w:r/>
            <w:r>
              <w:rPr>
                <w:rFonts w:ascii="Aptos" w:hAnsi="Aptos"/>
                <w:b w:val="0"/>
                <w:color w:val="1F2933"/>
                <w:sz w:val="16"/>
              </w:rPr>
              <w:t>Could the same signal be gas, ice, shale, coal, carbonate, or stress?</w:t>
            </w:r>
          </w:p>
        </w:tc>
        <w:tc>
          <w:tcPr>
            <w:tcW w:type="dxa" w:w="2484"/>
          </w:tcPr>
          <w:p>
            <w:pPr>
              <w:spacing w:after="0" w:line="252" w:lineRule="auto"/>
            </w:pPr>
            <w:r/>
            <w:r>
              <w:rPr>
                <w:rFonts w:ascii="Aptos" w:hAnsi="Aptos"/>
                <w:b w:val="0"/>
                <w:color w:val="1F2933"/>
                <w:sz w:val="16"/>
              </w:rPr>
              <w:t>Vp/Vs, mu-rho, Vsh, effective stress, permafrost/depth context</w:t>
            </w:r>
          </w:p>
        </w:tc>
        <w:tc>
          <w:tcPr>
            <w:tcW w:type="dxa" w:w="2484"/>
          </w:tcPr>
          <w:p>
            <w:pPr>
              <w:spacing w:after="0" w:line="252" w:lineRule="auto"/>
            </w:pPr>
            <w:r/>
            <w:r>
              <w:rPr>
                <w:rFonts w:ascii="Aptos" w:hAnsi="Aptos"/>
                <w:b w:val="0"/>
                <w:color w:val="1F2933"/>
                <w:sz w:val="16"/>
              </w:rPr>
              <w:t>Ambiguous intervals stay in expert review rather than being forced into hydrate/non-hydrate.</w:t>
            </w:r>
          </w:p>
        </w:tc>
      </w:tr>
      <w:tr>
        <w:tc>
          <w:tcPr>
            <w:tcW w:type="dxa" w:w="2484"/>
          </w:tcPr>
          <w:p>
            <w:pPr>
              <w:spacing w:after="0" w:line="252" w:lineRule="auto"/>
            </w:pPr>
            <w:r/>
            <w:r>
              <w:rPr>
                <w:rFonts w:ascii="Aptos" w:hAnsi="Aptos"/>
                <w:b w:val="0"/>
                <w:color w:val="1F2933"/>
                <w:sz w:val="16"/>
              </w:rPr>
              <w:t>6. Producibility ranking</w:t>
            </w:r>
          </w:p>
        </w:tc>
        <w:tc>
          <w:tcPr>
            <w:tcW w:type="dxa" w:w="2484"/>
          </w:tcPr>
          <w:p>
            <w:pPr>
              <w:spacing w:after="0" w:line="252" w:lineRule="auto"/>
            </w:pPr>
            <w:r/>
            <w:r>
              <w:rPr>
                <w:rFonts w:ascii="Aptos" w:hAnsi="Aptos"/>
                <w:b w:val="0"/>
                <w:color w:val="1F2933"/>
                <w:sz w:val="16"/>
              </w:rPr>
              <w:t>If hydrate is present, is it likely to flow/respond well?</w:t>
            </w:r>
          </w:p>
        </w:tc>
        <w:tc>
          <w:tcPr>
            <w:tcW w:type="dxa" w:w="2484"/>
          </w:tcPr>
          <w:p>
            <w:pPr>
              <w:spacing w:after="0" w:line="252" w:lineRule="auto"/>
            </w:pPr>
            <w:r/>
            <w:r>
              <w:rPr>
                <w:rFonts w:ascii="Aptos" w:hAnsi="Aptos"/>
                <w:b w:val="0"/>
                <w:color w:val="1F2933"/>
                <w:sz w:val="16"/>
              </w:rPr>
              <w:t>Porosity, permeability proxy, saturation proxy, stress, continuity</w:t>
            </w:r>
          </w:p>
        </w:tc>
        <w:tc>
          <w:tcPr>
            <w:tcW w:type="dxa" w:w="2484"/>
          </w:tcPr>
          <w:p>
            <w:pPr>
              <w:spacing w:after="0" w:line="252" w:lineRule="auto"/>
            </w:pPr>
            <w:r/>
            <w:r>
              <w:rPr>
                <w:rFonts w:ascii="Aptos" w:hAnsi="Aptos"/>
                <w:b w:val="0"/>
                <w:color w:val="1F2933"/>
                <w:sz w:val="16"/>
              </w:rPr>
              <w:t>Moderate saturation with retained flow can outrank maximum saturation for production review.</w:t>
            </w:r>
          </w:p>
        </w:tc>
      </w:tr>
    </w:tbl>
    <w:p/>
    <w:p>
      <w:pPr>
        <w:pStyle w:val="Heading1"/>
        <w:spacing w:before="280" w:after="100"/>
      </w:pPr>
      <w:r>
        <w:rPr>
          <w:rFonts w:ascii="Aptos Display" w:hAnsi="Aptos Display"/>
          <w:color w:val="123447"/>
        </w:rPr>
        <w:t>7. Machine-Learning Design</w:t>
      </w:r>
    </w:p>
    <w:p>
      <w:pPr>
        <w:spacing w:after="120" w:line="269" w:lineRule="auto"/>
      </w:pPr>
      <w:r>
        <w:rPr>
          <w:rFonts w:ascii="Aptos" w:hAnsi="Aptos"/>
          <w:color w:val="1F2933"/>
          <w:sz w:val="20"/>
        </w:rPr>
        <w:t>The ML system should begin with interpretable baselines and only move toward more flexible models after grouped validation is stable. The first defensible model ladder is: rule-based baseline, regularized logistic regression or calibrated random forest, gradient-boosted trees, and then sequence-aware or interval-aware models if the data volume and labels justify them. The model should output probabilities and reasons, not just class labels.</w:t>
      </w:r>
    </w:p>
    <w:p>
      <w:pPr>
        <w:pStyle w:val="ListBullet"/>
        <w:spacing w:after="60"/>
      </w:pPr>
      <w:r>
        <w:rPr>
          <w:rFonts w:ascii="Aptos" w:hAnsi="Aptos"/>
          <w:sz w:val="20"/>
        </w:rPr>
        <w:t>Features: raw curves, derived equations, QC flags, rock-type screen, pressure-temperature context, overburden/effective stress, and interval statistics.</w:t>
      </w:r>
    </w:p>
    <w:p>
      <w:pPr>
        <w:pStyle w:val="ListBullet"/>
        <w:spacing w:after="60"/>
      </w:pPr>
      <w:r>
        <w:rPr>
          <w:rFonts w:ascii="Aptos" w:hAnsi="Aptos"/>
          <w:sz w:val="20"/>
        </w:rPr>
        <w:t>Labels: hydrate-supportive, gas-supportive, water sand, good sand/no hydrate, non-reservoir, and expert review.</w:t>
      </w:r>
    </w:p>
    <w:p>
      <w:pPr>
        <w:pStyle w:val="ListBullet"/>
        <w:spacing w:after="60"/>
      </w:pPr>
      <w:r>
        <w:rPr>
          <w:rFonts w:ascii="Aptos" w:hAnsi="Aptos"/>
          <w:sz w:val="20"/>
        </w:rPr>
        <w:t>Validation: split by well or fault/reservoir compartment, not by random depth sample.</w:t>
      </w:r>
    </w:p>
    <w:p>
      <w:pPr>
        <w:pStyle w:val="ListBullet"/>
        <w:spacing w:after="60"/>
      </w:pPr>
      <w:r>
        <w:rPr>
          <w:rFonts w:ascii="Aptos" w:hAnsi="Aptos"/>
          <w:sz w:val="20"/>
        </w:rPr>
        <w:t>Calibration: compare probability calibration, confusion matrix, feature importance, and failure cases against core-calibrated intervals.</w:t>
      </w:r>
    </w:p>
    <w:p>
      <w:pPr>
        <w:pStyle w:val="ListBullet"/>
        <w:spacing w:after="60"/>
      </w:pPr>
      <w:r>
        <w:rPr>
          <w:rFonts w:ascii="Aptos" w:hAnsi="Aptos"/>
          <w:sz w:val="20"/>
        </w:rPr>
        <w:t>Outputs: interval table, depth-panel callouts, cross-well variable ranges, sweet-spot lanes, uncertainty flags, and slide-ready figures.</w:t>
      </w:r>
    </w:p>
    <w:p>
      <w:pPr>
        <w:pStyle w:val="Heading1"/>
        <w:spacing w:before="280" w:after="100"/>
      </w:pPr>
      <w:r>
        <w:rPr>
          <w:rFonts w:ascii="Aptos Display" w:hAnsi="Aptos Display"/>
          <w:color w:val="123447"/>
        </w:rPr>
        <w:t>8. Results and Discussion Template</w:t>
      </w:r>
    </w:p>
    <w:p>
      <w:pPr>
        <w:spacing w:after="120" w:line="269" w:lineRule="auto"/>
      </w:pPr>
      <w:r>
        <w:rPr>
          <w:rFonts w:ascii="Aptos" w:hAnsi="Aptos"/>
          <w:color w:val="1F2933"/>
          <w:sz w:val="20"/>
        </w:rPr>
        <w:t>When approved data are available, the results section should be written around decisions rather than around raw plots. Each well or reservoir interval should report the staged screen outcome, the equations that drove the classification, the evidence against competing explanations, and the uncertainty remaining after core calibration.</w:t>
      </w:r>
    </w:p>
    <w:tbl>
      <w:tblPr>
        <w:tblStyle w:val="TableGrid"/>
        <w:tblW w:type="auto" w:w="0"/>
        <w:tblLayout w:type="fixed"/>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3312"/>
        <w:gridCol w:w="3312"/>
        <w:gridCol w:w="3312"/>
      </w:tblGrid>
      <w:tr>
        <w:tc>
          <w:tcPr>
            <w:tcW w:type="dxa" w:w="1440"/>
            <w:vAlign w:val="center"/>
            <w:tcMar>
              <w:top w:w="80" w:type="dxa"/>
              <w:start w:w="120" w:type="dxa"/>
              <w:bottom w:w="80" w:type="dxa"/>
              <w:end w:w="120" w:type="dxa"/>
            </w:tcMar>
            <w:shd w:fill="123447"/>
          </w:tcPr>
          <w:p>
            <w:pPr>
              <w:spacing w:after="0" w:line="252" w:lineRule="auto"/>
            </w:pPr>
            <w:r/>
            <w:r>
              <w:rPr>
                <w:rFonts w:ascii="Aptos" w:hAnsi="Aptos"/>
                <w:b/>
                <w:color w:val="FFFFFF"/>
                <w:sz w:val="16"/>
              </w:rPr>
              <w:t>Result item</w:t>
            </w:r>
          </w:p>
        </w:tc>
        <w:tc>
          <w:tcPr>
            <w:tcW w:type="dxa" w:w="3960"/>
            <w:vAlign w:val="center"/>
            <w:tcMar>
              <w:top w:w="80" w:type="dxa"/>
              <w:start w:w="120" w:type="dxa"/>
              <w:bottom w:w="80" w:type="dxa"/>
              <w:end w:w="120" w:type="dxa"/>
            </w:tcMar>
            <w:shd w:fill="123447"/>
          </w:tcPr>
          <w:p>
            <w:pPr>
              <w:spacing w:after="0" w:line="252" w:lineRule="auto"/>
            </w:pPr>
            <w:r/>
            <w:r>
              <w:rPr>
                <w:rFonts w:ascii="Aptos" w:hAnsi="Aptos"/>
                <w:b/>
                <w:color w:val="FFFFFF"/>
                <w:sz w:val="16"/>
              </w:rPr>
              <w:t>Output</w:t>
            </w:r>
          </w:p>
        </w:tc>
        <w:tc>
          <w:tcPr>
            <w:tcW w:type="dxa" w:w="4968"/>
            <w:vAlign w:val="center"/>
            <w:tcMar>
              <w:top w:w="80" w:type="dxa"/>
              <w:start w:w="120" w:type="dxa"/>
              <w:bottom w:w="80" w:type="dxa"/>
              <w:end w:w="120" w:type="dxa"/>
            </w:tcMar>
            <w:shd w:fill="123447"/>
          </w:tcPr>
          <w:p>
            <w:pPr>
              <w:spacing w:after="0" w:line="252" w:lineRule="auto"/>
            </w:pPr>
            <w:r/>
            <w:r>
              <w:rPr>
                <w:rFonts w:ascii="Aptos" w:hAnsi="Aptos"/>
                <w:b/>
                <w:color w:val="FFFFFF"/>
                <w:sz w:val="16"/>
              </w:rPr>
              <w:t>Purpose</w:t>
            </w:r>
          </w:p>
        </w:tc>
      </w:tr>
      <w:tr>
        <w:tc>
          <w:tcPr>
            <w:tcW w:type="dxa" w:w="3312"/>
          </w:tcPr>
          <w:p>
            <w:pPr>
              <w:spacing w:after="0" w:line="252" w:lineRule="auto"/>
            </w:pPr>
            <w:r/>
            <w:r>
              <w:rPr>
                <w:rFonts w:ascii="Aptos" w:hAnsi="Aptos"/>
                <w:b w:val="0"/>
                <w:color w:val="1F2933"/>
                <w:sz w:val="16"/>
              </w:rPr>
              <w:t>Figure 1</w:t>
            </w:r>
          </w:p>
        </w:tc>
        <w:tc>
          <w:tcPr>
            <w:tcW w:type="dxa" w:w="3312"/>
          </w:tcPr>
          <w:p>
            <w:pPr>
              <w:spacing w:after="0" w:line="252" w:lineRule="auto"/>
            </w:pPr>
            <w:r/>
            <w:r>
              <w:rPr>
                <w:rFonts w:ascii="Aptos" w:hAnsi="Aptos"/>
                <w:b w:val="0"/>
                <w:color w:val="1F2933"/>
                <w:sz w:val="16"/>
              </w:rPr>
              <w:t>Well-log panel with shaded candidate intervals</w:t>
            </w:r>
          </w:p>
        </w:tc>
        <w:tc>
          <w:tcPr>
            <w:tcW w:type="dxa" w:w="3312"/>
          </w:tcPr>
          <w:p>
            <w:pPr>
              <w:spacing w:after="0" w:line="252" w:lineRule="auto"/>
            </w:pPr>
            <w:r/>
            <w:r>
              <w:rPr>
                <w:rFonts w:ascii="Aptos" w:hAnsi="Aptos"/>
                <w:b w:val="0"/>
                <w:color w:val="1F2933"/>
                <w:sz w:val="16"/>
              </w:rPr>
              <w:t>Shows where Rt, Vp/Vs, mu-rho, porosity, and NMR-density evidence overlap.</w:t>
            </w:r>
          </w:p>
        </w:tc>
      </w:tr>
      <w:tr>
        <w:tc>
          <w:tcPr>
            <w:tcW w:type="dxa" w:w="3312"/>
          </w:tcPr>
          <w:p>
            <w:pPr>
              <w:spacing w:after="0" w:line="252" w:lineRule="auto"/>
            </w:pPr>
            <w:r/>
            <w:r>
              <w:rPr>
                <w:rFonts w:ascii="Aptos" w:hAnsi="Aptos"/>
                <w:b w:val="0"/>
                <w:color w:val="1F2933"/>
                <w:sz w:val="16"/>
              </w:rPr>
              <w:t>Figure 2</w:t>
            </w:r>
          </w:p>
        </w:tc>
        <w:tc>
          <w:tcPr>
            <w:tcW w:type="dxa" w:w="3312"/>
          </w:tcPr>
          <w:p>
            <w:pPr>
              <w:spacing w:after="0" w:line="252" w:lineRule="auto"/>
            </w:pPr>
            <w:r/>
            <w:r>
              <w:rPr>
                <w:rFonts w:ascii="Aptos" w:hAnsi="Aptos"/>
                <w:b w:val="0"/>
                <w:color w:val="1F2933"/>
                <w:sz w:val="16"/>
              </w:rPr>
              <w:t>Equation-derived feature crossplots</w:t>
            </w:r>
          </w:p>
        </w:tc>
        <w:tc>
          <w:tcPr>
            <w:tcW w:type="dxa" w:w="3312"/>
          </w:tcPr>
          <w:p>
            <w:pPr>
              <w:spacing w:after="0" w:line="252" w:lineRule="auto"/>
            </w:pPr>
            <w:r/>
            <w:r>
              <w:rPr>
                <w:rFonts w:ascii="Aptos" w:hAnsi="Aptos"/>
                <w:b w:val="0"/>
                <w:color w:val="1F2933"/>
                <w:sz w:val="16"/>
              </w:rPr>
              <w:t>Shows hydrate/gas/water/review separation in lambda-rho, mu-rho, Vp/Vs, and saturation-proxy space.</w:t>
            </w:r>
          </w:p>
        </w:tc>
      </w:tr>
      <w:tr>
        <w:tc>
          <w:tcPr>
            <w:tcW w:type="dxa" w:w="3312"/>
          </w:tcPr>
          <w:p>
            <w:pPr>
              <w:spacing w:after="0" w:line="252" w:lineRule="auto"/>
            </w:pPr>
            <w:r/>
            <w:r>
              <w:rPr>
                <w:rFonts w:ascii="Aptos" w:hAnsi="Aptos"/>
                <w:b w:val="0"/>
                <w:color w:val="1F2933"/>
                <w:sz w:val="16"/>
              </w:rPr>
              <w:t>Figure 3</w:t>
            </w:r>
          </w:p>
        </w:tc>
        <w:tc>
          <w:tcPr>
            <w:tcW w:type="dxa" w:w="3312"/>
          </w:tcPr>
          <w:p>
            <w:pPr>
              <w:spacing w:after="0" w:line="252" w:lineRule="auto"/>
            </w:pPr>
            <w:r/>
            <w:r>
              <w:rPr>
                <w:rFonts w:ascii="Aptos" w:hAnsi="Aptos"/>
                <w:b w:val="0"/>
                <w:color w:val="1F2933"/>
                <w:sz w:val="16"/>
              </w:rPr>
              <w:t>Pressure-temperature and stress panel</w:t>
            </w:r>
          </w:p>
        </w:tc>
        <w:tc>
          <w:tcPr>
            <w:tcW w:type="dxa" w:w="3312"/>
          </w:tcPr>
          <w:p>
            <w:pPr>
              <w:spacing w:after="0" w:line="252" w:lineRule="auto"/>
            </w:pPr>
            <w:r/>
            <w:r>
              <w:rPr>
                <w:rFonts w:ascii="Aptos" w:hAnsi="Aptos"/>
                <w:b w:val="0"/>
                <w:color w:val="1F2933"/>
                <w:sz w:val="16"/>
              </w:rPr>
              <w:t>Explains whether the interval is admissible and whether stress may explain velocity/stiffness.</w:t>
            </w:r>
          </w:p>
        </w:tc>
      </w:tr>
      <w:tr>
        <w:tc>
          <w:tcPr>
            <w:tcW w:type="dxa" w:w="3312"/>
          </w:tcPr>
          <w:p>
            <w:pPr>
              <w:spacing w:after="0" w:line="252" w:lineRule="auto"/>
            </w:pPr>
            <w:r/>
            <w:r>
              <w:rPr>
                <w:rFonts w:ascii="Aptos" w:hAnsi="Aptos"/>
                <w:b w:val="0"/>
                <w:color w:val="1F2933"/>
                <w:sz w:val="16"/>
              </w:rPr>
              <w:t>Table 1</w:t>
            </w:r>
          </w:p>
        </w:tc>
        <w:tc>
          <w:tcPr>
            <w:tcW w:type="dxa" w:w="3312"/>
          </w:tcPr>
          <w:p>
            <w:pPr>
              <w:spacing w:after="0" w:line="252" w:lineRule="auto"/>
            </w:pPr>
            <w:r/>
            <w:r>
              <w:rPr>
                <w:rFonts w:ascii="Aptos" w:hAnsi="Aptos"/>
                <w:b w:val="0"/>
                <w:color w:val="1F2933"/>
                <w:sz w:val="16"/>
              </w:rPr>
              <w:t>Interval classification table</w:t>
            </w:r>
          </w:p>
        </w:tc>
        <w:tc>
          <w:tcPr>
            <w:tcW w:type="dxa" w:w="3312"/>
          </w:tcPr>
          <w:p>
            <w:pPr>
              <w:spacing w:after="0" w:line="252" w:lineRule="auto"/>
            </w:pPr>
            <w:r/>
            <w:r>
              <w:rPr>
                <w:rFonts w:ascii="Aptos" w:hAnsi="Aptos"/>
                <w:b w:val="0"/>
                <w:color w:val="1F2933"/>
                <w:sz w:val="16"/>
              </w:rPr>
              <w:t>Reports gate outcomes, phase evidence, saturation proxy, producibility lane, and uncertainty flags.</w:t>
            </w:r>
          </w:p>
        </w:tc>
      </w:tr>
      <w:tr>
        <w:tc>
          <w:tcPr>
            <w:tcW w:type="dxa" w:w="3312"/>
          </w:tcPr>
          <w:p>
            <w:pPr>
              <w:spacing w:after="0" w:line="252" w:lineRule="auto"/>
            </w:pPr>
            <w:r/>
            <w:r>
              <w:rPr>
                <w:rFonts w:ascii="Aptos" w:hAnsi="Aptos"/>
                <w:b w:val="0"/>
                <w:color w:val="1F2933"/>
                <w:sz w:val="16"/>
              </w:rPr>
              <w:t>Table 2</w:t>
            </w:r>
          </w:p>
        </w:tc>
        <w:tc>
          <w:tcPr>
            <w:tcW w:type="dxa" w:w="3312"/>
          </w:tcPr>
          <w:p>
            <w:pPr>
              <w:spacing w:after="0" w:line="252" w:lineRule="auto"/>
            </w:pPr>
            <w:r/>
            <w:r>
              <w:rPr>
                <w:rFonts w:ascii="Aptos" w:hAnsi="Aptos"/>
                <w:b w:val="0"/>
                <w:color w:val="1F2933"/>
                <w:sz w:val="16"/>
              </w:rPr>
              <w:t>Core-to-log calibration table</w:t>
            </w:r>
          </w:p>
        </w:tc>
        <w:tc>
          <w:tcPr>
            <w:tcW w:type="dxa" w:w="3312"/>
          </w:tcPr>
          <w:p>
            <w:pPr>
              <w:spacing w:after="0" w:line="252" w:lineRule="auto"/>
            </w:pPr>
            <w:r/>
            <w:r>
              <w:rPr>
                <w:rFonts w:ascii="Aptos" w:hAnsi="Aptos"/>
                <w:b w:val="0"/>
                <w:color w:val="1F2933"/>
                <w:sz w:val="16"/>
              </w:rPr>
              <w:t>Reports depth-match uncertainty, pressure-core quality, measured saturation/porosity, and confidence weights.</w:t>
            </w:r>
          </w:p>
        </w:tc>
      </w:tr>
      <w:tr>
        <w:tc>
          <w:tcPr>
            <w:tcW w:type="dxa" w:w="3312"/>
          </w:tcPr>
          <w:p>
            <w:pPr>
              <w:spacing w:after="0" w:line="252" w:lineRule="auto"/>
            </w:pPr>
            <w:r/>
            <w:r>
              <w:rPr>
                <w:rFonts w:ascii="Aptos" w:hAnsi="Aptos"/>
                <w:b w:val="0"/>
                <w:color w:val="1F2933"/>
                <w:sz w:val="16"/>
              </w:rPr>
              <w:t>Discussion</w:t>
            </w:r>
          </w:p>
        </w:tc>
        <w:tc>
          <w:tcPr>
            <w:tcW w:type="dxa" w:w="3312"/>
          </w:tcPr>
          <w:p>
            <w:pPr>
              <w:spacing w:after="0" w:line="252" w:lineRule="auto"/>
            </w:pPr>
            <w:r/>
            <w:r>
              <w:rPr>
                <w:rFonts w:ascii="Aptos" w:hAnsi="Aptos"/>
                <w:b w:val="0"/>
                <w:color w:val="1F2933"/>
                <w:sz w:val="16"/>
              </w:rPr>
              <w:t>Failure modes and missing evidence</w:t>
            </w:r>
          </w:p>
        </w:tc>
        <w:tc>
          <w:tcPr>
            <w:tcW w:type="dxa" w:w="3312"/>
          </w:tcPr>
          <w:p>
            <w:pPr>
              <w:spacing w:after="0" w:line="252" w:lineRule="auto"/>
            </w:pPr>
            <w:r/>
            <w:r>
              <w:rPr>
                <w:rFonts w:ascii="Aptos" w:hAnsi="Aptos"/>
                <w:b w:val="0"/>
                <w:color w:val="1F2933"/>
                <w:sz w:val="16"/>
              </w:rPr>
              <w:t>Explains intervals that failed because of gas, ice, shale, coal, washout, stress, or missing NMR/DTS.</w:t>
            </w:r>
          </w:p>
        </w:tc>
      </w:tr>
    </w:tbl>
    <w:p/>
    <w:p>
      <w:pPr>
        <w:pStyle w:val="Heading1"/>
        <w:spacing w:before="280" w:after="100"/>
      </w:pPr>
      <w:r>
        <w:rPr>
          <w:rFonts w:ascii="Aptos Display" w:hAnsi="Aptos Display"/>
          <w:color w:val="123447"/>
        </w:rPr>
        <w:t>9. Current Evidence Anchors and Missing Pieces</w:t>
      </w:r>
    </w:p>
    <w:p>
      <w:pPr>
        <w:spacing w:after="120" w:line="269" w:lineRule="auto"/>
      </w:pPr>
      <w:r>
        <w:rPr>
          <w:rFonts w:ascii="Aptos" w:hAnsi="Aptos"/>
          <w:color w:val="1F2933"/>
          <w:sz w:val="20"/>
        </w:rPr>
        <w:t>The organized source library is strong enough for a scaffold. The remaining gap is not the absence of equations; it is field calibration. The eventual approved-data workflow still needs local clean-sand/shale anchors, matrix-density assumptions, water salinity/resistivity, temperature and pressure calibration, core depth matching, and well-grouped validation labels.</w:t>
      </w:r>
    </w:p>
    <w:p>
      <w:pPr>
        <w:pStyle w:val="ListBullet"/>
        <w:spacing w:after="60"/>
      </w:pPr>
      <w:r>
        <w:rPr>
          <w:rFonts w:ascii="Aptos" w:hAnsi="Aptos"/>
          <w:sz w:val="20"/>
        </w:rPr>
        <w:t>Mount Elbert public studies support multi-log saturation comparison using NMR, P- and S-wave velocity, resistivity, and core context.</w:t>
      </w:r>
    </w:p>
    <w:p>
      <w:pPr>
        <w:pStyle w:val="ListBullet"/>
        <w:spacing w:after="60"/>
      </w:pPr>
      <w:r>
        <w:rPr>
          <w:rFonts w:ascii="Aptos" w:hAnsi="Aptos"/>
          <w:sz w:val="20"/>
        </w:rPr>
        <w:t>Hydrate-01 public work supports acoustic/resistivity/NMR comparison and shows high hydrate occupancy in target reservoir sands.</w:t>
      </w:r>
    </w:p>
    <w:p>
      <w:pPr>
        <w:pStyle w:val="ListBullet"/>
        <w:spacing w:after="60"/>
      </w:pPr>
      <w:r>
        <w:rPr>
          <w:rFonts w:ascii="Aptos" w:hAnsi="Aptos"/>
          <w:sz w:val="20"/>
        </w:rPr>
        <w:t>Eileen Trend public work supports the idea that structural-stratigraphic segmentation and partial fill must constrain interpretation.</w:t>
      </w:r>
    </w:p>
    <w:p>
      <w:pPr>
        <w:pStyle w:val="ListBullet"/>
        <w:spacing w:after="60"/>
      </w:pPr>
      <w:r>
        <w:rPr>
          <w:rFonts w:ascii="Aptos" w:hAnsi="Aptos"/>
          <w:sz w:val="20"/>
        </w:rPr>
        <w:t>North Slope reservoir-quality and overburden sources support treating rock type and stress as contextual controls rather than hydrate labels.</w:t>
      </w:r>
    </w:p>
    <w:p>
      <w:pPr>
        <w:pStyle w:val="Heading1"/>
        <w:spacing w:before="280" w:after="100"/>
      </w:pPr>
      <w:r>
        <w:rPr>
          <w:rFonts w:ascii="Aptos Display" w:hAnsi="Aptos Display"/>
          <w:color w:val="123447"/>
        </w:rPr>
        <w:t>References and Source Anchors</w:t>
      </w:r>
    </w:p>
    <w:p>
      <w:pPr>
        <w:spacing w:after="80"/>
        <w:ind w:left="288"/>
      </w:pPr>
      <w:r>
        <w:rPr>
          <w:rFonts w:ascii="Aptos" w:hAnsi="Aptos"/>
          <w:sz w:val="18"/>
        </w:rPr>
        <w:t>Lee, M.W., and Collett, T.S. (2011). In-situ gas hydrate saturation estimated from various well logs at the Mount Elbert Gas Hydrate Stratigraphic Test Well, Alaska North Slope. Marine and Petroleum Geology, 28(2), 439-449. DOI: 10.1016/j.marpetgeo.2009.06.007.</w:t>
      </w:r>
    </w:p>
    <w:p>
      <w:pPr>
        <w:spacing w:after="80"/>
        <w:ind w:left="288"/>
      </w:pPr>
      <w:r>
        <w:rPr>
          <w:rFonts w:ascii="Aptos" w:hAnsi="Aptos"/>
          <w:sz w:val="18"/>
        </w:rPr>
        <w:t>Haines, S.S., Collett, T., Yoneda, J., Shimoda, N., Boswell, R., and Okinaka, N. (2022). Gas hydrate saturation estimates, gas hydrate occurrence, and reservoir characteristics based on well log data from the Hydrate-01 stratigraphic test well, Alaska North Slope. Energy &amp; Fuels, 36(6), 3040-3050. DOI: 10.1021/acs.energyfuels.1c04100.</w:t>
      </w:r>
    </w:p>
    <w:p>
      <w:pPr>
        <w:spacing w:after="80"/>
        <w:ind w:left="288"/>
      </w:pPr>
      <w:r>
        <w:rPr>
          <w:rFonts w:ascii="Aptos" w:hAnsi="Aptos"/>
          <w:sz w:val="18"/>
        </w:rPr>
        <w:t>Haines, S.S., Collett, T., Boswell, R., Lim, T., Okinaka, N., Suzuki, K., and Fujimoto, A. USGS summary page: Gas hydrate saturation estimation from acoustic log data in the 2018 Alaska North Slope Hydrate-01 stratigraphic test well.</w:t>
      </w:r>
    </w:p>
    <w:p>
      <w:pPr>
        <w:spacing w:after="80"/>
        <w:ind w:left="288"/>
      </w:pPr>
      <w:r>
        <w:rPr>
          <w:rFonts w:ascii="Aptos" w:hAnsi="Aptos"/>
          <w:sz w:val="18"/>
        </w:rPr>
        <w:t>Zyrianova, M., Collett, T., and Boswell, R. (2024). Characterization of the structural-stratigraphic and reservoir controls on the occurrence of gas hydrates in the Eileen Gas Hydrate Trend, Alaska North Slope.</w:t>
      </w:r>
    </w:p>
    <w:p>
      <w:pPr>
        <w:spacing w:after="80"/>
        <w:ind w:left="288"/>
      </w:pPr>
      <w:r>
        <w:rPr>
          <w:rFonts w:ascii="Aptos" w:hAnsi="Aptos"/>
          <w:sz w:val="18"/>
        </w:rPr>
        <w:t>NETL / DOE Mount Elbert project page. The Alaska North Slope Stratigraphic Test Well: public summary of Mount Elbert well-log data types.</w:t>
      </w:r>
    </w:p>
    <w:p>
      <w:pPr>
        <w:spacing w:after="80"/>
        <w:ind w:left="288"/>
      </w:pPr>
      <w:r>
        <w:rPr>
          <w:rFonts w:ascii="Aptos" w:hAnsi="Aptos"/>
          <w:sz w:val="18"/>
        </w:rPr>
        <w:t>Organized local source library: docs/source_library_index/source_index.md and source_manifest.csv. Use these as a citation checklist, not as final provenance.</w:t>
      </w:r>
    </w:p>
    <w:p>
      <w:pPr>
        <w:sectPr>
          <w:pgSz w:w="12240" w:h="15840"/>
          <w:pgMar w:top="1224" w:right="1152" w:bottom="1152" w:left="1152" w:header="720" w:footer="720" w:gutter="0"/>
          <w:cols w:space="720"/>
          <w:docGrid w:linePitch="360"/>
        </w:sectPr>
      </w:pPr>
    </w:p>
    <w:p>
      <w:pPr>
        <w:pStyle w:val="Heading1"/>
        <w:spacing w:before="280" w:after="100"/>
      </w:pPr>
      <w:r>
        <w:rPr>
          <w:rFonts w:ascii="Aptos Display" w:hAnsi="Aptos Display"/>
          <w:color w:val="123447"/>
        </w:rPr>
        <w:t>Appendix A. Sweet-Spot Review Lanes</w:t>
      </w:r>
    </w:p>
    <w:p>
      <w:pPr>
        <w:spacing w:after="120" w:line="269" w:lineRule="auto"/>
      </w:pPr>
      <w:r>
        <w:rPr>
          <w:rFonts w:ascii="Aptos" w:hAnsi="Aptos"/>
          <w:color w:val="1F2933"/>
          <w:sz w:val="20"/>
        </w:rPr>
        <w:t>These lanes are designed for review and presentation. They should not be treated as universal field thresholds. The real-data project must recalibrate them against local logs, core observations, reservoir compartment, and uncertainty.</w:t>
      </w:r>
    </w:p>
    <w:tbl>
      <w:tblPr>
        <w:tblStyle w:val="TableGrid"/>
        <w:tblW w:type="auto" w:w="0"/>
        <w:tblLayout w:type="fixed"/>
        <w:tblLook w:firstColumn="1" w:firstRow="1" w:lastColumn="0" w:lastRow="0" w:noHBand="0" w:noVBand="1" w:val="04A0"/>
        <w:tblBorders>
          <w:top w:val="single" w:sz="4" w:space="0" w:color="B7C9D3"/>
          <w:left w:val="single" w:sz="4" w:space="0" w:color="B7C9D3"/>
          <w:bottom w:val="single" w:sz="4" w:space="0" w:color="B7C9D3"/>
          <w:right w:val="single" w:sz="4" w:space="0" w:color="B7C9D3"/>
          <w:insideH w:val="single" w:sz="4" w:space="0" w:color="B7C9D3"/>
          <w:insideV w:val="single" w:sz="4" w:space="0" w:color="B7C9D3"/>
        </w:tblBorders>
      </w:tblPr>
      <w:tblGrid>
        <w:gridCol w:w="2628"/>
        <w:gridCol w:w="2628"/>
        <w:gridCol w:w="2628"/>
        <w:gridCol w:w="2628"/>
      </w:tblGrid>
      <w:tr>
        <w:tc>
          <w:tcPr>
            <w:tcW w:type="dxa" w:w="2520"/>
            <w:vAlign w:val="center"/>
            <w:tcMar>
              <w:top w:w="80" w:type="dxa"/>
              <w:start w:w="120" w:type="dxa"/>
              <w:bottom w:w="80" w:type="dxa"/>
              <w:end w:w="120" w:type="dxa"/>
            </w:tcMar>
            <w:shd w:fill="167D8D"/>
          </w:tcPr>
          <w:p>
            <w:pPr>
              <w:spacing w:after="0" w:line="252" w:lineRule="auto"/>
            </w:pPr>
            <w:r/>
            <w:r>
              <w:rPr>
                <w:rFonts w:ascii="Aptos" w:hAnsi="Aptos"/>
                <w:b/>
                <w:color w:val="FFFFFF"/>
                <w:sz w:val="16"/>
              </w:rPr>
              <w:t>Planning band</w:t>
            </w:r>
          </w:p>
        </w:tc>
        <w:tc>
          <w:tcPr>
            <w:tcW w:type="dxa" w:w="1728"/>
            <w:vAlign w:val="center"/>
            <w:tcMar>
              <w:top w:w="80" w:type="dxa"/>
              <w:start w:w="120" w:type="dxa"/>
              <w:bottom w:w="80" w:type="dxa"/>
              <w:end w:w="120" w:type="dxa"/>
            </w:tcMar>
            <w:shd w:fill="167D8D"/>
          </w:tcPr>
          <w:p>
            <w:pPr>
              <w:spacing w:after="0" w:line="252" w:lineRule="auto"/>
            </w:pPr>
            <w:r/>
            <w:r>
              <w:rPr>
                <w:rFonts w:ascii="Aptos" w:hAnsi="Aptos"/>
                <w:b/>
                <w:color w:val="FFFFFF"/>
                <w:sz w:val="16"/>
              </w:rPr>
              <w:t>Proxy range</w:t>
            </w:r>
          </w:p>
        </w:tc>
        <w:tc>
          <w:tcPr>
            <w:tcW w:type="dxa" w:w="3456"/>
            <w:vAlign w:val="center"/>
            <w:tcMar>
              <w:top w:w="80" w:type="dxa"/>
              <w:start w:w="120" w:type="dxa"/>
              <w:bottom w:w="80" w:type="dxa"/>
              <w:end w:w="120" w:type="dxa"/>
            </w:tcMar>
            <w:shd w:fill="167D8D"/>
          </w:tcPr>
          <w:p>
            <w:pPr>
              <w:spacing w:after="0" w:line="252" w:lineRule="auto"/>
            </w:pPr>
            <w:r/>
            <w:r>
              <w:rPr>
                <w:rFonts w:ascii="Aptos" w:hAnsi="Aptos"/>
                <w:b/>
                <w:color w:val="FFFFFF"/>
                <w:sz w:val="16"/>
              </w:rPr>
              <w:t>Use</w:t>
            </w:r>
          </w:p>
        </w:tc>
        <w:tc>
          <w:tcPr>
            <w:tcW w:type="dxa" w:w="3744"/>
            <w:vAlign w:val="center"/>
            <w:tcMar>
              <w:top w:w="80" w:type="dxa"/>
              <w:start w:w="120" w:type="dxa"/>
              <w:bottom w:w="80" w:type="dxa"/>
              <w:end w:w="120" w:type="dxa"/>
            </w:tcMar>
            <w:shd w:fill="167D8D"/>
          </w:tcPr>
          <w:p>
            <w:pPr>
              <w:spacing w:after="0" w:line="252" w:lineRule="auto"/>
            </w:pPr>
            <w:r/>
            <w:r>
              <w:rPr>
                <w:rFonts w:ascii="Aptos" w:hAnsi="Aptos"/>
                <w:b/>
                <w:color w:val="FFFFFF"/>
                <w:sz w:val="16"/>
              </w:rPr>
              <w:t>Required confirmation</w:t>
            </w:r>
          </w:p>
        </w:tc>
      </w:tr>
      <w:tr>
        <w:tc>
          <w:tcPr>
            <w:tcW w:type="dxa" w:w="2628"/>
          </w:tcPr>
          <w:p>
            <w:pPr>
              <w:spacing w:after="0" w:line="252" w:lineRule="auto"/>
            </w:pPr>
            <w:r/>
            <w:r>
              <w:rPr>
                <w:rFonts w:ascii="Aptos" w:hAnsi="Aptos"/>
                <w:b w:val="0"/>
                <w:color w:val="1F2933"/>
                <w:sz w:val="16"/>
              </w:rPr>
              <w:t>Admissibility only</w:t>
            </w:r>
          </w:p>
        </w:tc>
        <w:tc>
          <w:tcPr>
            <w:tcW w:type="dxa" w:w="2628"/>
          </w:tcPr>
          <w:p>
            <w:pPr>
              <w:spacing w:after="0" w:line="252" w:lineRule="auto"/>
            </w:pPr>
            <w:r/>
            <w:r>
              <w:rPr>
                <w:rFonts w:ascii="Aptos" w:hAnsi="Aptos"/>
                <w:b w:val="0"/>
                <w:color w:val="1F2933"/>
                <w:sz w:val="16"/>
              </w:rPr>
              <w:t>Any</w:t>
            </w:r>
          </w:p>
        </w:tc>
        <w:tc>
          <w:tcPr>
            <w:tcW w:type="dxa" w:w="2628"/>
          </w:tcPr>
          <w:p>
            <w:pPr>
              <w:spacing w:after="0" w:line="252" w:lineRule="auto"/>
            </w:pPr>
            <w:r/>
            <w:r>
              <w:rPr>
                <w:rFonts w:ascii="Aptos" w:hAnsi="Aptos"/>
                <w:b w:val="0"/>
                <w:color w:val="1F2933"/>
                <w:sz w:val="16"/>
              </w:rPr>
              <w:t>Confirm that the interval is inside a probabilistic GHSZ screen.</w:t>
            </w:r>
          </w:p>
        </w:tc>
        <w:tc>
          <w:tcPr>
            <w:tcW w:type="dxa" w:w="2628"/>
          </w:tcPr>
          <w:p>
            <w:pPr>
              <w:spacing w:after="0" w:line="252" w:lineRule="auto"/>
            </w:pPr>
            <w:r/>
            <w:r>
              <w:rPr>
                <w:rFonts w:ascii="Aptos" w:hAnsi="Aptos"/>
                <w:b w:val="0"/>
                <w:color w:val="1F2933"/>
                <w:sz w:val="16"/>
              </w:rPr>
              <w:t>Reservoir quality, multi-log phase evidence, and local calibration.</w:t>
            </w:r>
          </w:p>
        </w:tc>
      </w:tr>
      <w:tr>
        <w:tc>
          <w:tcPr>
            <w:tcW w:type="dxa" w:w="2628"/>
          </w:tcPr>
          <w:p>
            <w:pPr>
              <w:spacing w:after="0" w:line="252" w:lineRule="auto"/>
            </w:pPr>
            <w:r/>
            <w:r>
              <w:rPr>
                <w:rFonts w:ascii="Aptos" w:hAnsi="Aptos"/>
                <w:b w:val="0"/>
                <w:color w:val="1F2933"/>
                <w:sz w:val="16"/>
              </w:rPr>
              <w:t>Occupancy / expert review</w:t>
            </w:r>
          </w:p>
        </w:tc>
        <w:tc>
          <w:tcPr>
            <w:tcW w:type="dxa" w:w="2628"/>
          </w:tcPr>
          <w:p>
            <w:pPr>
              <w:spacing w:after="0" w:line="252" w:lineRule="auto"/>
            </w:pPr>
            <w:r/>
            <w:r>
              <w:rPr>
                <w:rFonts w:ascii="Aptos" w:hAnsi="Aptos"/>
                <w:b w:val="0"/>
                <w:color w:val="1F2933"/>
                <w:sz w:val="16"/>
              </w:rPr>
              <w:t>&lt; 0.35</w:t>
            </w:r>
          </w:p>
        </w:tc>
        <w:tc>
          <w:tcPr>
            <w:tcW w:type="dxa" w:w="2628"/>
          </w:tcPr>
          <w:p>
            <w:pPr>
              <w:spacing w:after="0" w:line="252" w:lineRule="auto"/>
            </w:pPr>
            <w:r/>
            <w:r>
              <w:rPr>
                <w:rFonts w:ascii="Aptos" w:hAnsi="Aptos"/>
                <w:b w:val="0"/>
                <w:color w:val="1F2933"/>
                <w:sz w:val="16"/>
              </w:rPr>
              <w:t>Preserve low-to-moderate occupancy, thin-bed averaging, and ambiguous responses for review.</w:t>
            </w:r>
          </w:p>
        </w:tc>
        <w:tc>
          <w:tcPr>
            <w:tcW w:type="dxa" w:w="2628"/>
          </w:tcPr>
          <w:p>
            <w:pPr>
              <w:spacing w:after="0" w:line="252" w:lineRule="auto"/>
            </w:pPr>
            <w:r/>
            <w:r>
              <w:rPr>
                <w:rFonts w:ascii="Aptos" w:hAnsi="Aptos"/>
                <w:b w:val="0"/>
                <w:color w:val="1F2933"/>
                <w:sz w:val="16"/>
              </w:rPr>
              <w:t>Vertical-resolution review, NMR where available, sonic, Rt, and core depth match.</w:t>
            </w:r>
          </w:p>
        </w:tc>
      </w:tr>
      <w:tr>
        <w:tc>
          <w:tcPr>
            <w:tcW w:type="dxa" w:w="2628"/>
          </w:tcPr>
          <w:p>
            <w:pPr>
              <w:spacing w:after="0" w:line="252" w:lineRule="auto"/>
            </w:pPr>
            <w:r/>
            <w:r>
              <w:rPr>
                <w:rFonts w:ascii="Aptos" w:hAnsi="Aptos"/>
                <w:b w:val="0"/>
                <w:color w:val="1F2933"/>
                <w:sz w:val="16"/>
              </w:rPr>
              <w:t>Candidate sweet-spot review lane</w:t>
            </w:r>
          </w:p>
        </w:tc>
        <w:tc>
          <w:tcPr>
            <w:tcW w:type="dxa" w:w="2628"/>
          </w:tcPr>
          <w:p>
            <w:pPr>
              <w:spacing w:after="0" w:line="252" w:lineRule="auto"/>
            </w:pPr>
            <w:r/>
            <w:r>
              <w:rPr>
                <w:rFonts w:ascii="Aptos" w:hAnsi="Aptos"/>
                <w:b w:val="0"/>
                <w:color w:val="1F2933"/>
                <w:sz w:val="16"/>
              </w:rPr>
              <w:t>0.35-0.60</w:t>
            </w:r>
          </w:p>
        </w:tc>
        <w:tc>
          <w:tcPr>
            <w:tcW w:type="dxa" w:w="2628"/>
          </w:tcPr>
          <w:p>
            <w:pPr>
              <w:spacing w:after="0" w:line="252" w:lineRule="auto"/>
            </w:pPr>
            <w:r/>
            <w:r>
              <w:rPr>
                <w:rFonts w:ascii="Aptos" w:hAnsi="Aptos"/>
                <w:b w:val="0"/>
                <w:color w:val="1F2933"/>
                <w:sz w:val="16"/>
              </w:rPr>
              <w:t>Flag a moderate-saturation interval for production-oriented review when reservoir quality and QC remain favorable.</w:t>
            </w:r>
          </w:p>
        </w:tc>
        <w:tc>
          <w:tcPr>
            <w:tcW w:type="dxa" w:w="2628"/>
          </w:tcPr>
          <w:p>
            <w:pPr>
              <w:spacing w:after="0" w:line="252" w:lineRule="auto"/>
            </w:pPr>
            <w:r/>
            <w:r>
              <w:rPr>
                <w:rFonts w:ascii="Aptos" w:hAnsi="Aptos"/>
                <w:b w:val="0"/>
                <w:color w:val="1F2933"/>
                <w:sz w:val="16"/>
              </w:rPr>
              <w:t>Connected pore volume, permeability retention, pressure communication, core calibration, and geomechanics.</w:t>
            </w:r>
          </w:p>
        </w:tc>
      </w:tr>
      <w:tr>
        <w:tc>
          <w:tcPr>
            <w:tcW w:type="dxa" w:w="2628"/>
          </w:tcPr>
          <w:p>
            <w:pPr>
              <w:spacing w:after="0" w:line="252" w:lineRule="auto"/>
            </w:pPr>
            <w:r/>
            <w:r>
              <w:rPr>
                <w:rFonts w:ascii="Aptos" w:hAnsi="Aptos"/>
                <w:b w:val="0"/>
                <w:color w:val="1F2933"/>
                <w:sz w:val="16"/>
              </w:rPr>
              <w:t>High-saturation hydrate-supportive lane</w:t>
            </w:r>
          </w:p>
        </w:tc>
        <w:tc>
          <w:tcPr>
            <w:tcW w:type="dxa" w:w="2628"/>
          </w:tcPr>
          <w:p>
            <w:pPr>
              <w:spacing w:after="0" w:line="252" w:lineRule="auto"/>
            </w:pPr>
            <w:r/>
            <w:r>
              <w:rPr>
                <w:rFonts w:ascii="Aptos" w:hAnsi="Aptos"/>
                <w:b w:val="0"/>
                <w:color w:val="1F2933"/>
                <w:sz w:val="16"/>
              </w:rPr>
              <w:t>0.60-0.80</w:t>
            </w:r>
          </w:p>
        </w:tc>
        <w:tc>
          <w:tcPr>
            <w:tcW w:type="dxa" w:w="2628"/>
          </w:tcPr>
          <w:p>
            <w:pPr>
              <w:spacing w:after="0" w:line="252" w:lineRule="auto"/>
            </w:pPr>
            <w:r/>
            <w:r>
              <w:rPr>
                <w:rFonts w:ascii="Aptos" w:hAnsi="Aptos"/>
                <w:b w:val="0"/>
                <w:color w:val="1F2933"/>
                <w:sz w:val="16"/>
              </w:rPr>
              <w:t>Flag strong hydrate-supportive evidence while retaining a separate flow-risk review.</w:t>
            </w:r>
          </w:p>
        </w:tc>
        <w:tc>
          <w:tcPr>
            <w:tcW w:type="dxa" w:w="2628"/>
          </w:tcPr>
          <w:p>
            <w:pPr>
              <w:spacing w:after="0" w:line="252" w:lineRule="auto"/>
            </w:pPr>
            <w:r/>
            <w:r>
              <w:rPr>
                <w:rFonts w:ascii="Aptos" w:hAnsi="Aptos"/>
                <w:b w:val="0"/>
                <w:color w:val="1F2933"/>
                <w:sz w:val="16"/>
              </w:rPr>
              <w:t>NMR-density preferred, sonic and Rt agreement, reservoir continuity, and producibility review.</w:t>
            </w:r>
          </w:p>
        </w:tc>
      </w:tr>
      <w:tr>
        <w:tc>
          <w:tcPr>
            <w:tcW w:type="dxa" w:w="2628"/>
          </w:tcPr>
          <w:p>
            <w:pPr>
              <w:spacing w:after="0" w:line="252" w:lineRule="auto"/>
            </w:pPr>
            <w:r/>
            <w:r>
              <w:rPr>
                <w:rFonts w:ascii="Aptos" w:hAnsi="Aptos"/>
                <w:b w:val="0"/>
                <w:color w:val="1F2933"/>
                <w:sz w:val="16"/>
              </w:rPr>
              <w:t>Very-high-saturation resource lane</w:t>
            </w:r>
          </w:p>
        </w:tc>
        <w:tc>
          <w:tcPr>
            <w:tcW w:type="dxa" w:w="2628"/>
          </w:tcPr>
          <w:p>
            <w:pPr>
              <w:spacing w:after="0" w:line="252" w:lineRule="auto"/>
            </w:pPr>
            <w:r/>
            <w:r>
              <w:rPr>
                <w:rFonts w:ascii="Aptos" w:hAnsi="Aptos"/>
                <w:b w:val="0"/>
                <w:color w:val="1F2933"/>
                <w:sz w:val="16"/>
              </w:rPr>
              <w:t>&gt; 0.80</w:t>
            </w:r>
          </w:p>
        </w:tc>
        <w:tc>
          <w:tcPr>
            <w:tcW w:type="dxa" w:w="2628"/>
          </w:tcPr>
          <w:p>
            <w:pPr>
              <w:spacing w:after="0" w:line="252" w:lineRule="auto"/>
            </w:pPr>
            <w:r/>
            <w:r>
              <w:rPr>
                <w:rFonts w:ascii="Aptos" w:hAnsi="Aptos"/>
                <w:b w:val="0"/>
                <w:color w:val="1F2933"/>
                <w:sz w:val="16"/>
              </w:rPr>
              <w:t>Flag high resource density and detectability, not an automatic best production target.</w:t>
            </w:r>
          </w:p>
        </w:tc>
        <w:tc>
          <w:tcPr>
            <w:tcW w:type="dxa" w:w="2628"/>
          </w:tcPr>
          <w:p>
            <w:pPr>
              <w:spacing w:after="0" w:line="252" w:lineRule="auto"/>
            </w:pPr>
            <w:r/>
            <w:r>
              <w:rPr>
                <w:rFonts w:ascii="Aptos" w:hAnsi="Aptos"/>
                <w:b w:val="0"/>
                <w:color w:val="1F2933"/>
                <w:sz w:val="16"/>
              </w:rPr>
              <w:t>Permeability-collapse risk, pressure communication, mechanical response, and local core calibration.</w:t>
            </w:r>
          </w:p>
        </w:tc>
      </w:tr>
    </w:tbl>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447"/>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234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