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Calibri" w:hAnsi="Calibri"/>
          <w:b/>
          <w:color w:val="17384D"/>
          <w:sz w:val="40"/>
        </w:rPr>
        <w:t>North Slope Gas Hydrate Reservoir Characterization Research Overview</w:t>
      </w:r>
    </w:p>
    <w:p>
      <w:pPr>
        <w:spacing w:after="160"/>
      </w:pPr>
      <w:r>
        <w:rPr>
          <w:rFonts w:ascii="Calibri" w:hAnsi="Calibri"/>
          <w:color w:val="5A6670"/>
          <w:sz w:val="21"/>
        </w:rPr>
        <w:t>Source-backed methods draft for occurrence classification and saturation regression</w:t>
      </w:r>
    </w:p>
    <w:p>
      <w:pPr>
        <w:spacing w:after="200"/>
      </w:pPr>
      <w:r>
        <w:rPr>
          <w:rFonts w:ascii="Calibri" w:hAnsi="Calibri"/>
          <w:color w:val="5A6670"/>
          <w:sz w:val="19"/>
        </w:rPr>
        <w:t>Prepared 2026-06-17 from published paper/report sources, current ML/runtime guardrails, and internal equation workflow notes. Revised 2026-06-17 with expanded equation explanations and paper-only references.</w:t>
      </w:r>
    </w:p>
    <w:tbl>
      <w:tblPr>
        <w:tblW w:type="dxa" w:w="9360"/>
        <w:jc w:val="left"/>
        <w:tblLayout w:type="fixed"/>
        <w:tblLook w:firstColumn="1" w:firstRow="1" w:lastColumn="0" w:lastRow="0" w:noHBand="0" w:noVBand="1" w:val="04A0"/>
        <w:tblInd w:w="120" w:type="dxa"/>
        <w:tblBorders>
          <w:top w:val="single" w:sz="6" w:space="0" w:color="D7C8B3"/>
          <w:left w:val="single" w:sz="6" w:space="0" w:color="D7C8B3"/>
          <w:bottom w:val="single" w:sz="6" w:space="0" w:color="D7C8B3"/>
          <w:right w:val="single" w:sz="6" w:space="0" w:color="D7C8B3"/>
          <w:insideH w:val="single" w:sz="6" w:space="0" w:color="D7C8B3"/>
          <w:insideV w:val="single" w:sz="6" w:space="0" w:color="D7C8B3"/>
        </w:tblBorders>
      </w:tblPr>
      <w:tblGrid>
        <w:gridCol w:w="9360"/>
      </w:tblGrid>
      <w:tr>
        <w:tc>
          <w:tcPr>
            <w:tcW w:type="dxa" w:w="9360"/>
            <w:tcMar>
              <w:top w:w="80" w:type="dxa"/>
              <w:start w:w="120" w:type="dxa"/>
              <w:bottom w:w="80" w:type="dxa"/>
              <w:end w:w="120" w:type="dxa"/>
            </w:tcMar>
            <w:vAlign w:val="center"/>
            <w:shd w:fill="F7F1E8"/>
          </w:tcPr>
          <w:p>
            <w:pPr>
              <w:spacing w:after="0"/>
            </w:pPr>
            <w:r>
              <w:rPr>
                <w:rFonts w:ascii="Calibri" w:hAnsi="Calibri"/>
                <w:b/>
                <w:color w:val="17384D"/>
                <w:sz w:val="17"/>
              </w:rPr>
              <w:t xml:space="preserve">Public-safe boundary: </w:t>
            </w:r>
            <w:r>
              <w:rPr>
                <w:rFonts w:ascii="Calibri" w:hAnsi="Calibri"/>
                <w:b/>
                <w:color w:val="1F2933"/>
                <w:sz w:val="17"/>
              </w:rPr>
              <w:t>This draft describes a source-backed workflow. It does not include approved runtime well-log rows, core rows, restricted well identifiers, trained models, populated configs, row-level predictions, or project model results.</w:t>
            </w:r>
          </w:p>
        </w:tc>
      </w:tr>
    </w:tbl>
    <w:p>
      <w:pPr>
        <w:spacing w:after="80"/>
      </w:pPr>
    </w:p>
    <w:tbl>
      <w:tblPr>
        <w:tblW w:type="dxa" w:w="9360"/>
        <w:jc w:val="left"/>
        <w:tblLayout w:type="fixed"/>
        <w:tblLook w:firstColumn="1" w:firstRow="1" w:lastColumn="0" w:lastRow="0" w:noHBand="0" w:noVBand="1" w:val="04A0"/>
        <w:tblInd w:w="120" w:type="dxa"/>
        <w:tblBorders>
          <w:top w:val="single" w:sz="6" w:space="0" w:color="D7C8B3"/>
          <w:left w:val="single" w:sz="6" w:space="0" w:color="D7C8B3"/>
          <w:bottom w:val="single" w:sz="6" w:space="0" w:color="D7C8B3"/>
          <w:right w:val="single" w:sz="6" w:space="0" w:color="D7C8B3"/>
          <w:insideH w:val="single" w:sz="6" w:space="0" w:color="D7C8B3"/>
          <w:insideV w:val="single" w:sz="6" w:space="0" w:color="D7C8B3"/>
        </w:tblBorders>
      </w:tblPr>
      <w:tblGrid>
        <w:gridCol w:w="9360"/>
      </w:tblGrid>
      <w:tr>
        <w:tc>
          <w:tcPr>
            <w:tcW w:type="dxa" w:w="9360"/>
            <w:tcMar>
              <w:top w:w="80" w:type="dxa"/>
              <w:start w:w="120" w:type="dxa"/>
              <w:bottom w:w="80" w:type="dxa"/>
              <w:end w:w="120" w:type="dxa"/>
            </w:tcMar>
            <w:vAlign w:val="center"/>
            <w:shd w:fill="F7F1E8"/>
          </w:tcPr>
          <w:p>
            <w:pPr>
              <w:spacing w:after="0"/>
            </w:pPr>
            <w:r>
              <w:rPr>
                <w:rFonts w:ascii="Calibri" w:hAnsi="Calibri"/>
                <w:b/>
                <w:color w:val="17384D"/>
                <w:sz w:val="17"/>
              </w:rPr>
              <w:t xml:space="preserve">Current status: </w:t>
            </w:r>
            <w:r>
              <w:rPr>
                <w:rFonts w:ascii="Calibri" w:hAnsi="Calibri"/>
                <w:b/>
                <w:color w:val="1F2933"/>
                <w:sz w:val="17"/>
              </w:rPr>
              <w:t>The workflow is ready as a research and runtime design. Equations define how raw logs become pressure-temperature context, porosity, elastic features, saturation baselines, and ML-ready variables. Numeric ranges are screening envelopes; they are not final DOE thresholds or hydrate-proof claims.</w:t>
            </w:r>
          </w:p>
        </w:tc>
      </w:tr>
    </w:tbl>
    <w:p>
      <w:pPr>
        <w:spacing w:after="80"/>
      </w:pPr>
    </w:p>
    <w:p>
      <w:pPr>
        <w:pStyle w:val="Heading1"/>
      </w:pPr>
      <w:r>
        <w:t>Abstract</w:t>
      </w:r>
    </w:p>
    <w:p>
      <w:pPr>
        <w:spacing w:after="140" w:line="293" w:lineRule="auto"/>
      </w:pPr>
      <w:r>
        <w:rPr>
          <w:rFonts w:ascii="Calibri" w:hAnsi="Calibri"/>
          <w:i w:val="0"/>
          <w:color w:val="1F2933"/>
          <w:sz w:val="20"/>
        </w:rPr>
        <w:t>This project designs a physics-constrained machine-learning workflow for predicting gas hydrate occurrence and saturation in sand-rich, permafrost-associated reservoirs on the Alaska North Slope. The workflow is built for pore-filling methane hydrate because that hydrate habit has the clearest connection to well-log response, NMR/core calibration, reservoir quality, and saturation modeling.</w:t>
      </w:r>
    </w:p>
    <w:p>
      <w:pPr>
        <w:spacing w:after="140" w:line="293" w:lineRule="auto"/>
      </w:pPr>
      <w:r>
        <w:rPr>
          <w:rFonts w:ascii="Calibri" w:hAnsi="Calibri"/>
          <w:i w:val="0"/>
          <w:color w:val="1F2933"/>
          <w:sz w:val="20"/>
        </w:rPr>
        <w:t>The research claim is intentionally methodological: hydrate prediction should follow the same sequence a geoscientist would use. First, the workflow tests whether hydrate can exist in the pressure-temperature setting; second, whether the rock can host pore-filling hydrate; third, whether measured logs can be converted through transparent equations into electrical, elastic, and porosity evidence; and fourth, whether approved labels support occurrence classification and saturation regression without target leakage.</w:t>
      </w:r>
    </w:p>
    <w:p>
      <w:pPr>
        <w:spacing w:after="140" w:line="293" w:lineRule="auto"/>
      </w:pPr>
      <w:r>
        <w:rPr>
          <w:rFonts w:ascii="Calibri" w:hAnsi="Calibri"/>
          <w:i w:val="0"/>
          <w:color w:val="1F2933"/>
          <w:sz w:val="20"/>
        </w:rPr>
        <w:t>Published sources support this architecture without becoming project results. Chong et al. (2022) is the strongest direct permafrost-associated hydrate ML analogue because it includes Alaska North Slope and Mallik/Mackenzie Delta well-log settings. Singh et al. (2021) supports selected well-log feature sets for saturation prediction, and Chong et al. (2024) supports separate occurrence and saturation model heads. Direct Alaska North Slope logging, NMR, core, and reservoir sources anchor the scientific interpretation and guard against overusing comparative ML papers as field truth.</w:t>
      </w:r>
    </w:p>
    <w:p>
      <w:pPr>
        <w:pStyle w:val="Heading1"/>
      </w:pPr>
      <w:r>
        <w:t>1. Research Aim and Current Claim</w:t>
      </w:r>
    </w:p>
    <w:p>
      <w:pPr>
        <w:spacing w:after="140" w:line="293" w:lineRule="auto"/>
      </w:pPr>
      <w:r>
        <w:rPr>
          <w:rFonts w:ascii="Calibri" w:hAnsi="Calibri"/>
          <w:i w:val="0"/>
          <w:color w:val="1F2933"/>
          <w:sz w:val="20"/>
        </w:rPr>
        <w:t>The aim is to build a defensible North Slope gas-hydrate characterization workflow that connects public regional context with an approved-runtime well-log and core analysis system. The immediate product is not a final prediction map. It is a research-grade methods document and runtime plan that explains how occurrence and saturation will be modeled after authoritative target fields, units, workbook formulas, and validation wells are confirmed.</w:t>
      </w:r>
    </w:p>
    <w:p>
      <w:pPr>
        <w:spacing w:after="140" w:line="293" w:lineRule="auto"/>
      </w:pPr>
      <w:r>
        <w:rPr>
          <w:rFonts w:ascii="Calibri" w:hAnsi="Calibri"/>
          <w:i w:val="0"/>
          <w:color w:val="1F2933"/>
          <w:sz w:val="20"/>
        </w:rPr>
        <w:t>The current defensible claim is that the pipeline should encode a science-to-ML ladder rather than asking a model to discover hydrate from a flat spreadsheet. Stability context, reservoir quality, hydrate-response logs, QC, and target authority must remain distinct so that high resistivity, low gamma ray, stable pressure-temperature conditions, or source-paper model performance are never presented as project proof.</w:t>
      </w:r>
    </w:p>
    <w:p>
      <w:pPr>
        <w:pStyle w:val="Heading1"/>
      </w:pPr>
      <w:r>
        <w:t>2. Source Base and Evidence Hierarchy</w:t>
      </w:r>
    </w:p>
    <w:p>
      <w:pPr>
        <w:spacing w:after="140" w:line="293" w:lineRule="auto"/>
      </w:pPr>
      <w:r>
        <w:rPr>
          <w:rFonts w:ascii="Calibri" w:hAnsi="Calibri"/>
          <w:i w:val="0"/>
          <w:color w:val="1F2933"/>
          <w:sz w:val="20"/>
        </w:rPr>
        <w:t>The source base is organized by evidence role. Direct North Slope sources are used for field context, logging systems, NMR/core calibration, reservoir quality, and hydrate occurrence controls. Direct permafrost hydrate ML sources support model architecture and feature families. Comparative hydrate ML sources support possible modeling options. Project synthesis files organize the logic, but they are not independent scientific evidence.</w:t>
      </w:r>
    </w:p>
    <w:tbl>
      <w:tblPr>
        <w:tblW w:type="dxa" w:w="9936"/>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00"/>
        <w:gridCol w:w="2376"/>
        <w:gridCol w:w="3528"/>
        <w:gridCol w:w="2232"/>
      </w:tblGrid>
      <w:tr>
        <w:tc>
          <w:tcPr>
            <w:tcW w:type="dxa" w:w="1800"/>
            <w:tcMar>
              <w:top w:w="80" w:type="dxa"/>
              <w:start w:w="120" w:type="dxa"/>
              <w:bottom w:w="80" w:type="dxa"/>
              <w:end w:w="120" w:type="dxa"/>
            </w:tcMar>
            <w:vAlign w:val="center"/>
            <w:shd w:fill="F4F6F8"/>
          </w:tcPr>
          <w:p>
            <w:pPr>
              <w:spacing w:after="0"/>
            </w:pPr>
            <w:r>
              <w:rPr>
                <w:rFonts w:ascii="Calibri" w:hAnsi="Calibri"/>
                <w:b/>
                <w:color w:val="17384D"/>
                <w:sz w:val="14"/>
              </w:rPr>
              <w:t>Evidence tier</w:t>
            </w:r>
          </w:p>
        </w:tc>
        <w:tc>
          <w:tcPr>
            <w:tcW w:type="dxa" w:w="2376"/>
            <w:tcMar>
              <w:top w:w="80" w:type="dxa"/>
              <w:start w:w="120" w:type="dxa"/>
              <w:bottom w:w="80" w:type="dxa"/>
              <w:end w:w="120" w:type="dxa"/>
            </w:tcMar>
            <w:vAlign w:val="center"/>
            <w:shd w:fill="F4F6F8"/>
          </w:tcPr>
          <w:p>
            <w:pPr>
              <w:spacing w:after="0"/>
            </w:pPr>
            <w:r>
              <w:rPr>
                <w:rFonts w:ascii="Calibri" w:hAnsi="Calibri"/>
                <w:b/>
                <w:color w:val="17384D"/>
                <w:sz w:val="14"/>
              </w:rPr>
              <w:t>Main sources</w:t>
            </w:r>
          </w:p>
        </w:tc>
        <w:tc>
          <w:tcPr>
            <w:tcW w:type="dxa" w:w="3528"/>
            <w:tcMar>
              <w:top w:w="80" w:type="dxa"/>
              <w:start w:w="120" w:type="dxa"/>
              <w:bottom w:w="80" w:type="dxa"/>
              <w:end w:w="120" w:type="dxa"/>
            </w:tcMar>
            <w:vAlign w:val="center"/>
            <w:shd w:fill="F4F6F8"/>
          </w:tcPr>
          <w:p>
            <w:pPr>
              <w:spacing w:after="0"/>
            </w:pPr>
            <w:r>
              <w:rPr>
                <w:rFonts w:ascii="Calibri" w:hAnsi="Calibri"/>
                <w:b/>
                <w:color w:val="17384D"/>
                <w:sz w:val="14"/>
              </w:rPr>
              <w:t>What it supports</w:t>
            </w:r>
          </w:p>
        </w:tc>
        <w:tc>
          <w:tcPr>
            <w:tcW w:type="dxa" w:w="2232"/>
            <w:tcMar>
              <w:top w:w="80" w:type="dxa"/>
              <w:start w:w="120" w:type="dxa"/>
              <w:bottom w:w="80" w:type="dxa"/>
              <w:end w:w="120" w:type="dxa"/>
            </w:tcMar>
            <w:vAlign w:val="center"/>
            <w:shd w:fill="F4F6F8"/>
          </w:tcPr>
          <w:p>
            <w:pPr>
              <w:spacing w:after="0"/>
            </w:pPr>
            <w:r>
              <w:rPr>
                <w:rFonts w:ascii="Calibri" w:hAnsi="Calibri"/>
                <w:b/>
                <w:color w:val="17384D"/>
                <w:sz w:val="14"/>
              </w:rPr>
              <w:t>Guardrail</w:t>
            </w:r>
          </w:p>
        </w:tc>
      </w:tr>
      <w:tr>
        <w:tc>
          <w:tcPr>
            <w:tcW w:type="dxa" w:w="1800"/>
          </w:tcPr>
          <w:p>
            <w:pPr>
              <w:spacing w:after="0" w:line="259" w:lineRule="auto"/>
            </w:pPr>
            <w:r>
              <w:rPr>
                <w:rFonts w:ascii="Calibri" w:hAnsi="Calibri"/>
                <w:color w:val="1F2933"/>
                <w:sz w:val="12"/>
              </w:rPr>
              <w:t>Direct ANS logging, NMR, core, reservoir</w:t>
            </w:r>
          </w:p>
        </w:tc>
        <w:tc>
          <w:tcPr>
            <w:tcW w:type="dxa" w:w="2376"/>
          </w:tcPr>
          <w:p>
            <w:pPr>
              <w:spacing w:after="0" w:line="259" w:lineRule="auto"/>
            </w:pPr>
            <w:r>
              <w:rPr>
                <w:rFonts w:ascii="Calibri" w:hAnsi="Calibri"/>
                <w:color w:val="1F2933"/>
                <w:sz w:val="12"/>
              </w:rPr>
              <w:t>Aung 2026; Yoneda 2026; Lee and Collett 2011; Haines 2022; Zyrianova 2024; Collett sources</w:t>
            </w:r>
          </w:p>
        </w:tc>
        <w:tc>
          <w:tcPr>
            <w:tcW w:type="dxa" w:w="3528"/>
          </w:tcPr>
          <w:p>
            <w:pPr>
              <w:spacing w:after="0" w:line="259" w:lineRule="auto"/>
            </w:pPr>
            <w:r>
              <w:rPr>
                <w:rFonts w:ascii="Calibri" w:hAnsi="Calibri"/>
                <w:color w:val="1F2933"/>
                <w:sz w:val="12"/>
              </w:rPr>
              <w:t>Log suite, QC, NMR/core calibration, reservoir-vs-seal logic, occurrence controls, producibility context</w:t>
            </w:r>
          </w:p>
        </w:tc>
        <w:tc>
          <w:tcPr>
            <w:tcW w:type="dxa" w:w="2232"/>
          </w:tcPr>
          <w:p>
            <w:pPr>
              <w:spacing w:after="0" w:line="259" w:lineRule="auto"/>
            </w:pPr>
            <w:r>
              <w:rPr>
                <w:rFonts w:ascii="Calibri" w:hAnsi="Calibri"/>
                <w:color w:val="1F2933"/>
                <w:sz w:val="12"/>
              </w:rPr>
              <w:t>Do not cite source quick-look values as this project's results.</w:t>
            </w:r>
          </w:p>
        </w:tc>
      </w:tr>
      <w:tr>
        <w:tc>
          <w:tcPr>
            <w:tcW w:type="dxa" w:w="1800"/>
          </w:tcPr>
          <w:p>
            <w:pPr>
              <w:spacing w:after="0" w:line="259" w:lineRule="auto"/>
            </w:pPr>
            <w:r>
              <w:rPr>
                <w:rFonts w:ascii="Calibri" w:hAnsi="Calibri"/>
                <w:color w:val="1F2933"/>
                <w:sz w:val="12"/>
              </w:rPr>
              <w:t>Direct permafrost hydrate ML</w:t>
            </w:r>
          </w:p>
        </w:tc>
        <w:tc>
          <w:tcPr>
            <w:tcW w:type="dxa" w:w="2376"/>
          </w:tcPr>
          <w:p>
            <w:pPr>
              <w:spacing w:after="0" w:line="259" w:lineRule="auto"/>
            </w:pPr>
            <w:r>
              <w:rPr>
                <w:rFonts w:ascii="Calibri" w:hAnsi="Calibri"/>
                <w:color w:val="1F2933"/>
                <w:sz w:val="12"/>
              </w:rPr>
              <w:t>Chong et al. 2022</w:t>
            </w:r>
          </w:p>
        </w:tc>
        <w:tc>
          <w:tcPr>
            <w:tcW w:type="dxa" w:w="3528"/>
          </w:tcPr>
          <w:p>
            <w:pPr>
              <w:spacing w:after="0" w:line="259" w:lineRule="auto"/>
            </w:pPr>
            <w:r>
              <w:rPr>
                <w:rFonts w:ascii="Calibri" w:hAnsi="Calibri"/>
                <w:color w:val="1F2933"/>
                <w:sz w:val="12"/>
              </w:rPr>
              <w:t>ANS/Mallik well-log ML analogue, NMR-derived saturation target concept, feature families, caliper/washout screening</w:t>
            </w:r>
          </w:p>
        </w:tc>
        <w:tc>
          <w:tcPr>
            <w:tcW w:type="dxa" w:w="2232"/>
          </w:tcPr>
          <w:p>
            <w:pPr>
              <w:spacing w:after="0" w:line="259" w:lineRule="auto"/>
            </w:pPr>
            <w:r>
              <w:rPr>
                <w:rFonts w:ascii="Calibri" w:hAnsi="Calibri"/>
                <w:color w:val="1F2933"/>
                <w:sz w:val="12"/>
              </w:rPr>
              <w:t>Do not copy reported source-paper metrics as project performance.</w:t>
            </w:r>
          </w:p>
        </w:tc>
      </w:tr>
      <w:tr>
        <w:tc>
          <w:tcPr>
            <w:tcW w:type="dxa" w:w="1800"/>
          </w:tcPr>
          <w:p>
            <w:pPr>
              <w:spacing w:after="0" w:line="259" w:lineRule="auto"/>
            </w:pPr>
            <w:r>
              <w:rPr>
                <w:rFonts w:ascii="Calibri" w:hAnsi="Calibri"/>
                <w:color w:val="1F2933"/>
                <w:sz w:val="12"/>
              </w:rPr>
              <w:t>Comparative hydrate ML</w:t>
            </w:r>
          </w:p>
        </w:tc>
        <w:tc>
          <w:tcPr>
            <w:tcW w:type="dxa" w:w="2376"/>
          </w:tcPr>
          <w:p>
            <w:pPr>
              <w:spacing w:after="0" w:line="259" w:lineRule="auto"/>
            </w:pPr>
            <w:r>
              <w:rPr>
                <w:rFonts w:ascii="Calibri" w:hAnsi="Calibri"/>
                <w:color w:val="1F2933"/>
                <w:sz w:val="12"/>
              </w:rPr>
              <w:t>Singh 2021; Chong 2024; Tian 2023; Li and Liu 2020; Naim 2023</w:t>
            </w:r>
          </w:p>
        </w:tc>
        <w:tc>
          <w:tcPr>
            <w:tcW w:type="dxa" w:w="3528"/>
          </w:tcPr>
          <w:p>
            <w:pPr>
              <w:spacing w:after="0" w:line="259" w:lineRule="auto"/>
            </w:pPr>
            <w:r>
              <w:rPr>
                <w:rFonts w:ascii="Calibri" w:hAnsi="Calibri"/>
                <w:color w:val="1F2933"/>
                <w:sz w:val="12"/>
              </w:rPr>
              <w:t>Saturation feature selection, occurrence-plus-saturation architecture, optional sequence and missing-log methods</w:t>
            </w:r>
          </w:p>
        </w:tc>
        <w:tc>
          <w:tcPr>
            <w:tcW w:type="dxa" w:w="2232"/>
          </w:tcPr>
          <w:p>
            <w:pPr>
              <w:spacing w:after="0" w:line="259" w:lineRule="auto"/>
            </w:pPr>
            <w:r>
              <w:rPr>
                <w:rFonts w:ascii="Calibri" w:hAnsi="Calibri"/>
                <w:color w:val="1F2933"/>
                <w:sz w:val="12"/>
              </w:rPr>
              <w:t>Method support only unless source setting is directly applicable.</w:t>
            </w:r>
          </w:p>
        </w:tc>
      </w:tr>
    </w:tbl>
    <w:p>
      <w:pPr>
        <w:spacing w:after="80"/>
      </w:pPr>
    </w:p>
    <w:p>
      <w:pPr>
        <w:pStyle w:val="Heading1"/>
      </w:pPr>
      <w:r>
        <w:t>3. North Slope Hydrate System Definition</w:t>
      </w:r>
    </w:p>
    <w:p>
      <w:pPr>
        <w:spacing w:after="140" w:line="293" w:lineRule="auto"/>
      </w:pPr>
      <w:r>
        <w:rPr>
          <w:rFonts w:ascii="Calibri" w:hAnsi="Calibri"/>
          <w:i w:val="0"/>
          <w:color w:val="1F2933"/>
          <w:sz w:val="20"/>
        </w:rPr>
        <w:t>The project is mainly built around pore-filling methane hydrate in clean to sand-rich, permafrost-associated North Slope reservoirs. That definition matters because pore-filling hydrate can raise resistivity by replacing conductive pore water and can stiffen the sediment frame in ways that sonic and elastic features may detect. It also keeps the workflow tied to reservoir quality, NMR/core calibration, and saturation modeling rather than treating all hydrate habits as one label.</w:t>
      </w:r>
    </w:p>
    <w:tbl>
      <w:tblPr>
        <w:tblW w:type="dxa" w:w="9504"/>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448"/>
        <w:gridCol w:w="7056"/>
      </w:tblGrid>
      <w:tr>
        <w:tc>
          <w:tcPr>
            <w:tcW w:type="dxa" w:w="2448"/>
            <w:tcMar>
              <w:top w:w="80" w:type="dxa"/>
              <w:start w:w="120" w:type="dxa"/>
              <w:bottom w:w="80" w:type="dxa"/>
              <w:end w:w="120" w:type="dxa"/>
            </w:tcMar>
            <w:vAlign w:val="center"/>
            <w:shd w:fill="F4F6F8"/>
          </w:tcPr>
          <w:p>
            <w:pPr>
              <w:spacing w:after="0"/>
            </w:pPr>
            <w:r>
              <w:rPr>
                <w:rFonts w:ascii="Calibri" w:hAnsi="Calibri"/>
                <w:b/>
                <w:color w:val="17384D"/>
                <w:sz w:val="14"/>
              </w:rPr>
              <w:t>Hydrate habit</w:t>
            </w:r>
          </w:p>
        </w:tc>
        <w:tc>
          <w:tcPr>
            <w:tcW w:type="dxa" w:w="7056"/>
            <w:tcMar>
              <w:top w:w="80" w:type="dxa"/>
              <w:start w:w="120" w:type="dxa"/>
              <w:bottom w:w="80" w:type="dxa"/>
              <w:end w:w="120" w:type="dxa"/>
            </w:tcMar>
            <w:vAlign w:val="center"/>
            <w:shd w:fill="F4F6F8"/>
          </w:tcPr>
          <w:p>
            <w:pPr>
              <w:spacing w:after="0"/>
            </w:pPr>
            <w:r>
              <w:rPr>
                <w:rFonts w:ascii="Calibri" w:hAnsi="Calibri"/>
                <w:b/>
                <w:color w:val="17384D"/>
                <w:sz w:val="14"/>
              </w:rPr>
              <w:t>Interpretation for this workflow</w:t>
            </w:r>
          </w:p>
        </w:tc>
      </w:tr>
      <w:tr>
        <w:tc>
          <w:tcPr>
            <w:tcW w:type="dxa" w:w="2448"/>
          </w:tcPr>
          <w:p>
            <w:pPr>
              <w:spacing w:after="0" w:line="259" w:lineRule="auto"/>
            </w:pPr>
            <w:r>
              <w:rPr>
                <w:rFonts w:ascii="Calibri" w:hAnsi="Calibri"/>
                <w:color w:val="1F2933"/>
                <w:sz w:val="14"/>
              </w:rPr>
              <w:t>Pore-filling sand hydrate</w:t>
            </w:r>
          </w:p>
        </w:tc>
        <w:tc>
          <w:tcPr>
            <w:tcW w:type="dxa" w:w="7056"/>
          </w:tcPr>
          <w:p>
            <w:pPr>
              <w:spacing w:after="0" w:line="259" w:lineRule="auto"/>
            </w:pPr>
            <w:r>
              <w:rPr>
                <w:rFonts w:ascii="Calibri" w:hAnsi="Calibri"/>
                <w:color w:val="1F2933"/>
                <w:sz w:val="14"/>
              </w:rPr>
              <w:t>Primary target. The cleanest link to resistivity, porosity, Vp, Vs, impedance, NMR/core calibration, and saturation regression.</w:t>
            </w:r>
          </w:p>
        </w:tc>
      </w:tr>
      <w:tr>
        <w:tc>
          <w:tcPr>
            <w:tcW w:type="dxa" w:w="2448"/>
          </w:tcPr>
          <w:p>
            <w:pPr>
              <w:spacing w:after="0" w:line="259" w:lineRule="auto"/>
            </w:pPr>
            <w:r>
              <w:rPr>
                <w:rFonts w:ascii="Calibri" w:hAnsi="Calibri"/>
                <w:color w:val="1F2933"/>
                <w:sz w:val="14"/>
              </w:rPr>
              <w:t>Fracture or vein hydrate</w:t>
            </w:r>
          </w:p>
        </w:tc>
        <w:tc>
          <w:tcPr>
            <w:tcW w:type="dxa" w:w="7056"/>
          </w:tcPr>
          <w:p>
            <w:pPr>
              <w:spacing w:after="0" w:line="259" w:lineRule="auto"/>
            </w:pPr>
            <w:r>
              <w:rPr>
                <w:rFonts w:ascii="Calibri" w:hAnsi="Calibri"/>
                <w:color w:val="1F2933"/>
                <w:sz w:val="14"/>
              </w:rPr>
              <w:t>Possible, but harder for interval-scale ML because thin or anisotropic hydrate may be averaged by log tools and may not follow clean-sand reservoir logic.</w:t>
            </w:r>
          </w:p>
        </w:tc>
      </w:tr>
      <w:tr>
        <w:tc>
          <w:tcPr>
            <w:tcW w:type="dxa" w:w="2448"/>
          </w:tcPr>
          <w:p>
            <w:pPr>
              <w:spacing w:after="0" w:line="259" w:lineRule="auto"/>
            </w:pPr>
            <w:r>
              <w:rPr>
                <w:rFonts w:ascii="Calibri" w:hAnsi="Calibri"/>
                <w:color w:val="1F2933"/>
                <w:sz w:val="14"/>
              </w:rPr>
              <w:t>Massive or nodular hydrate</w:t>
            </w:r>
          </w:p>
        </w:tc>
        <w:tc>
          <w:tcPr>
            <w:tcW w:type="dxa" w:w="7056"/>
          </w:tcPr>
          <w:p>
            <w:pPr>
              <w:spacing w:after="0" w:line="259" w:lineRule="auto"/>
            </w:pPr>
            <w:r>
              <w:rPr>
                <w:rFonts w:ascii="Calibri" w:hAnsi="Calibri"/>
                <w:color w:val="1F2933"/>
                <w:sz w:val="14"/>
              </w:rPr>
              <w:t>Treat as a separate habit if labels support it. It is not the default North Slope sand-reservoir saturation model.</w:t>
            </w:r>
          </w:p>
        </w:tc>
      </w:tr>
      <w:tr>
        <w:tc>
          <w:tcPr>
            <w:tcW w:type="dxa" w:w="2448"/>
          </w:tcPr>
          <w:p>
            <w:pPr>
              <w:spacing w:after="0" w:line="259" w:lineRule="auto"/>
            </w:pPr>
            <w:r>
              <w:rPr>
                <w:rFonts w:ascii="Calibri" w:hAnsi="Calibri"/>
                <w:color w:val="1F2933"/>
                <w:sz w:val="14"/>
              </w:rPr>
              <w:t>No-hydrate reservoir sand</w:t>
            </w:r>
          </w:p>
        </w:tc>
        <w:tc>
          <w:tcPr>
            <w:tcW w:type="dxa" w:w="7056"/>
          </w:tcPr>
          <w:p>
            <w:pPr>
              <w:spacing w:after="0" w:line="259" w:lineRule="auto"/>
            </w:pPr>
            <w:r>
              <w:rPr>
                <w:rFonts w:ascii="Calibri" w:hAnsi="Calibri"/>
                <w:color w:val="1F2933"/>
                <w:sz w:val="14"/>
              </w:rPr>
              <w:t>Essential negative analogue: a clean porous sand can host hydrate in principle while still being water-bearing or gas-bearing.</w:t>
            </w:r>
          </w:p>
        </w:tc>
      </w:tr>
    </w:tbl>
    <w:p>
      <w:pPr>
        <w:spacing w:after="80"/>
      </w:pPr>
    </w:p>
    <w:p>
      <w:pPr>
        <w:pStyle w:val="Heading2"/>
      </w:pPr>
      <w:r>
        <w:t>Science-to-ML logic ladder</w:t>
      </w:r>
    </w:p>
    <w:tbl>
      <w:tblPr>
        <w:tblW w:type="dxa" w:w="9360"/>
        <w:jc w:val="left"/>
        <w:tblLayout w:type="fixed"/>
        <w:tblLook w:firstColumn="1" w:firstRow="1" w:lastColumn="0" w:lastRow="0" w:noHBand="0" w:noVBand="1" w:val="04A0"/>
        <w:tblInd w:w="120" w:type="dxa"/>
        <w:tblBorders>
          <w:top w:val="single" w:sz="6" w:space="0" w:color="A9C6D8"/>
          <w:left w:val="single" w:sz="6" w:space="0" w:color="A9C6D8"/>
          <w:bottom w:val="single" w:sz="6" w:space="0" w:color="A9C6D8"/>
          <w:right w:val="single" w:sz="6" w:space="0" w:color="A9C6D8"/>
          <w:insideH w:val="single" w:sz="6" w:space="0" w:color="A9C6D8"/>
          <w:insideV w:val="single" w:sz="6" w:space="0" w:color="A9C6D8"/>
        </w:tblBorders>
      </w:tblPr>
      <w:tblGrid>
        <w:gridCol w:w="1872"/>
        <w:gridCol w:w="1872"/>
        <w:gridCol w:w="1872"/>
        <w:gridCol w:w="1872"/>
        <w:gridCol w:w="1872"/>
      </w:tblGrid>
      <w:tr>
        <w:tc>
          <w:tcPr>
            <w:tcW w:type="dxa" w:w="1872"/>
            <w:tcMar>
              <w:top w:w="80" w:type="dxa"/>
              <w:start w:w="120" w:type="dxa"/>
              <w:bottom w:w="80" w:type="dxa"/>
              <w:end w:w="120" w:type="dxa"/>
            </w:tcMar>
            <w:vAlign w:val="center"/>
            <w:shd w:fill="EAF4F8"/>
          </w:tcPr>
          <w:p>
            <w:pPr>
              <w:spacing w:after="0"/>
              <w:jc w:val="center"/>
            </w:pPr>
            <w:r>
              <w:rPr>
                <w:rFonts w:ascii="Calibri" w:hAnsi="Calibri"/>
                <w:b/>
                <w:color w:val="17384D"/>
                <w:sz w:val="15"/>
              </w:rPr>
              <w:t>Can hydrate exist?</w:t>
            </w:r>
          </w:p>
        </w:tc>
        <w:tc>
          <w:tcPr>
            <w:tcW w:type="dxa" w:w="1872"/>
            <w:tcMar>
              <w:top w:w="80" w:type="dxa"/>
              <w:start w:w="120" w:type="dxa"/>
              <w:bottom w:w="80" w:type="dxa"/>
              <w:end w:w="120" w:type="dxa"/>
            </w:tcMar>
            <w:vAlign w:val="center"/>
            <w:shd w:fill="EAF4F8"/>
          </w:tcPr>
          <w:p>
            <w:pPr>
              <w:spacing w:after="0"/>
              <w:jc w:val="center"/>
            </w:pPr>
            <w:r>
              <w:rPr>
                <w:rFonts w:ascii="Calibri" w:hAnsi="Calibri"/>
                <w:b/>
                <w:color w:val="17384D"/>
                <w:sz w:val="15"/>
              </w:rPr>
              <w:t>Can the rock host it?</w:t>
            </w:r>
          </w:p>
        </w:tc>
        <w:tc>
          <w:tcPr>
            <w:tcW w:type="dxa" w:w="1872"/>
            <w:tcMar>
              <w:top w:w="80" w:type="dxa"/>
              <w:start w:w="120" w:type="dxa"/>
              <w:bottom w:w="80" w:type="dxa"/>
              <w:end w:w="120" w:type="dxa"/>
            </w:tcMar>
            <w:vAlign w:val="center"/>
            <w:shd w:fill="EAF4F8"/>
          </w:tcPr>
          <w:p>
            <w:pPr>
              <w:spacing w:after="0"/>
              <w:jc w:val="center"/>
            </w:pPr>
            <w:r>
              <w:rPr>
                <w:rFonts w:ascii="Calibri" w:hAnsi="Calibri"/>
                <w:b/>
                <w:color w:val="17384D"/>
                <w:sz w:val="15"/>
              </w:rPr>
              <w:t>Which equations convert logs?</w:t>
            </w:r>
          </w:p>
        </w:tc>
        <w:tc>
          <w:tcPr>
            <w:tcW w:type="dxa" w:w="1872"/>
            <w:tcMar>
              <w:top w:w="80" w:type="dxa"/>
              <w:start w:w="120" w:type="dxa"/>
              <w:bottom w:w="80" w:type="dxa"/>
              <w:end w:w="120" w:type="dxa"/>
            </w:tcMar>
            <w:vAlign w:val="center"/>
            <w:shd w:fill="EAF4F8"/>
          </w:tcPr>
          <w:p>
            <w:pPr>
              <w:spacing w:after="0"/>
              <w:jc w:val="center"/>
            </w:pPr>
            <w:r>
              <w:rPr>
                <w:rFonts w:ascii="Calibri" w:hAnsi="Calibri"/>
                <w:b/>
                <w:color w:val="17384D"/>
                <w:sz w:val="15"/>
              </w:rPr>
              <w:t>Are labels target-safe?</w:t>
            </w:r>
          </w:p>
        </w:tc>
        <w:tc>
          <w:tcPr>
            <w:tcW w:type="dxa" w:w="1872"/>
            <w:tcMar>
              <w:top w:w="80" w:type="dxa"/>
              <w:start w:w="120" w:type="dxa"/>
              <w:bottom w:w="80" w:type="dxa"/>
              <w:end w:w="120" w:type="dxa"/>
            </w:tcMar>
            <w:vAlign w:val="center"/>
            <w:shd w:fill="EAF4F8"/>
          </w:tcPr>
          <w:p>
            <w:pPr>
              <w:spacing w:after="0"/>
              <w:jc w:val="center"/>
            </w:pPr>
            <w:r>
              <w:rPr>
                <w:rFonts w:ascii="Calibri" w:hAnsi="Calibri"/>
                <w:b/>
                <w:color w:val="17384D"/>
                <w:sz w:val="15"/>
              </w:rPr>
              <w:t>What should the model output?</w:t>
            </w:r>
          </w:p>
        </w:tc>
      </w:tr>
    </w:tbl>
    <w:p>
      <w:pPr>
        <w:spacing w:after="80"/>
      </w:pPr>
    </w:p>
    <w:p>
      <w:pPr>
        <w:pStyle w:val="Heading1"/>
      </w:pPr>
      <w:r>
        <w:t>4. Parameter Evidence Framework</w:t>
      </w:r>
    </w:p>
    <w:p>
      <w:pPr>
        <w:spacing w:after="140" w:line="293" w:lineRule="auto"/>
      </w:pPr>
      <w:r>
        <w:rPr>
          <w:rFonts w:ascii="Calibri" w:hAnsi="Calibri"/>
          <w:i w:val="0"/>
          <w:color w:val="1F2933"/>
          <w:sz w:val="20"/>
        </w:rPr>
        <w:t>Every parameter family should be described with the same grammar: physical reason, hydrate signal, false positives, and ML role. This makes the research document more defensible than a parameter list because it shows why each curve belongs in the workflow and why no single curve is proof.</w:t>
      </w:r>
    </w:p>
    <w:tbl>
      <w:tblPr>
        <w:tblW w:type="dxa" w:w="9864"/>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656"/>
        <w:gridCol w:w="1944"/>
        <w:gridCol w:w="2088"/>
        <w:gridCol w:w="2520"/>
        <w:gridCol w:w="1656"/>
      </w:tblGrid>
      <w:tr>
        <w:tc>
          <w:tcPr>
            <w:tcW w:type="dxa" w:w="1656"/>
            <w:tcMar>
              <w:top w:w="80" w:type="dxa"/>
              <w:start w:w="120" w:type="dxa"/>
              <w:bottom w:w="80" w:type="dxa"/>
              <w:end w:w="120" w:type="dxa"/>
            </w:tcMar>
            <w:vAlign w:val="center"/>
            <w:shd w:fill="F4F6F8"/>
          </w:tcPr>
          <w:p>
            <w:pPr>
              <w:spacing w:after="0"/>
            </w:pPr>
            <w:r>
              <w:rPr>
                <w:rFonts w:ascii="Calibri" w:hAnsi="Calibri"/>
                <w:b/>
                <w:color w:val="17384D"/>
                <w:sz w:val="14"/>
              </w:rPr>
              <w:t>Parameter family</w:t>
            </w:r>
          </w:p>
        </w:tc>
        <w:tc>
          <w:tcPr>
            <w:tcW w:type="dxa" w:w="1944"/>
            <w:tcMar>
              <w:top w:w="80" w:type="dxa"/>
              <w:start w:w="120" w:type="dxa"/>
              <w:bottom w:w="80" w:type="dxa"/>
              <w:end w:w="120" w:type="dxa"/>
            </w:tcMar>
            <w:vAlign w:val="center"/>
            <w:shd w:fill="F4F6F8"/>
          </w:tcPr>
          <w:p>
            <w:pPr>
              <w:spacing w:after="0"/>
            </w:pPr>
            <w:r>
              <w:rPr>
                <w:rFonts w:ascii="Calibri" w:hAnsi="Calibri"/>
                <w:b/>
                <w:color w:val="17384D"/>
                <w:sz w:val="14"/>
              </w:rPr>
              <w:t>Physical reason</w:t>
            </w:r>
          </w:p>
        </w:tc>
        <w:tc>
          <w:tcPr>
            <w:tcW w:type="dxa" w:w="2088"/>
            <w:tcMar>
              <w:top w:w="80" w:type="dxa"/>
              <w:start w:w="120" w:type="dxa"/>
              <w:bottom w:w="80" w:type="dxa"/>
              <w:end w:w="120" w:type="dxa"/>
            </w:tcMar>
            <w:vAlign w:val="center"/>
            <w:shd w:fill="F4F6F8"/>
          </w:tcPr>
          <w:p>
            <w:pPr>
              <w:spacing w:after="0"/>
            </w:pPr>
            <w:r>
              <w:rPr>
                <w:rFonts w:ascii="Calibri" w:hAnsi="Calibri"/>
                <w:b/>
                <w:color w:val="17384D"/>
                <w:sz w:val="14"/>
              </w:rPr>
              <w:t>Hydrate signal</w:t>
            </w:r>
          </w:p>
        </w:tc>
        <w:tc>
          <w:tcPr>
            <w:tcW w:type="dxa" w:w="2520"/>
            <w:tcMar>
              <w:top w:w="80" w:type="dxa"/>
              <w:start w:w="120" w:type="dxa"/>
              <w:bottom w:w="80" w:type="dxa"/>
              <w:end w:w="120" w:type="dxa"/>
            </w:tcMar>
            <w:vAlign w:val="center"/>
            <w:shd w:fill="F4F6F8"/>
          </w:tcPr>
          <w:p>
            <w:pPr>
              <w:spacing w:after="0"/>
            </w:pPr>
            <w:r>
              <w:rPr>
                <w:rFonts w:ascii="Calibri" w:hAnsi="Calibri"/>
                <w:b/>
                <w:color w:val="17384D"/>
                <w:sz w:val="14"/>
              </w:rPr>
              <w:t>False positives or masks</w:t>
            </w:r>
          </w:p>
        </w:tc>
        <w:tc>
          <w:tcPr>
            <w:tcW w:type="dxa" w:w="1656"/>
            <w:tcMar>
              <w:top w:w="80" w:type="dxa"/>
              <w:start w:w="120" w:type="dxa"/>
              <w:bottom w:w="80" w:type="dxa"/>
              <w:end w:w="120" w:type="dxa"/>
            </w:tcMar>
            <w:vAlign w:val="center"/>
            <w:shd w:fill="F4F6F8"/>
          </w:tcPr>
          <w:p>
            <w:pPr>
              <w:spacing w:after="0"/>
            </w:pPr>
            <w:r>
              <w:rPr>
                <w:rFonts w:ascii="Calibri" w:hAnsi="Calibri"/>
                <w:b/>
                <w:color w:val="17384D"/>
                <w:sz w:val="14"/>
              </w:rPr>
              <w:t>ML role</w:t>
            </w:r>
          </w:p>
        </w:tc>
      </w:tr>
      <w:tr>
        <w:tc>
          <w:tcPr>
            <w:tcW w:type="dxa" w:w="1656"/>
          </w:tcPr>
          <w:p>
            <w:pPr>
              <w:spacing w:after="0" w:line="259" w:lineRule="auto"/>
            </w:pPr>
            <w:r>
              <w:rPr>
                <w:rFonts w:ascii="Calibri" w:hAnsi="Calibri"/>
                <w:color w:val="1F2933"/>
                <w:sz w:val="11"/>
              </w:rPr>
              <w:t>Depth, pressure, temperature, permafrost</w:t>
            </w:r>
          </w:p>
        </w:tc>
        <w:tc>
          <w:tcPr>
            <w:tcW w:type="dxa" w:w="1944"/>
          </w:tcPr>
          <w:p>
            <w:pPr>
              <w:spacing w:after="0" w:line="259" w:lineRule="auto"/>
            </w:pPr>
            <w:r>
              <w:rPr>
                <w:rFonts w:ascii="Calibri" w:hAnsi="Calibri"/>
                <w:color w:val="1F2933"/>
                <w:sz w:val="11"/>
              </w:rPr>
              <w:t>Methane hydrate has a stability window.</w:t>
            </w:r>
          </w:p>
        </w:tc>
        <w:tc>
          <w:tcPr>
            <w:tcW w:type="dxa" w:w="2088"/>
          </w:tcPr>
          <w:p>
            <w:pPr>
              <w:spacing w:after="0" w:line="259" w:lineRule="auto"/>
            </w:pPr>
            <w:r>
              <w:rPr>
                <w:rFonts w:ascii="Calibri" w:hAnsi="Calibri"/>
                <w:color w:val="1F2933"/>
                <w:sz w:val="11"/>
              </w:rPr>
              <w:t>Interval is admissible if pressure-temperature context permits hydrate.</w:t>
            </w:r>
          </w:p>
        </w:tc>
        <w:tc>
          <w:tcPr>
            <w:tcW w:type="dxa" w:w="2520"/>
          </w:tcPr>
          <w:p>
            <w:pPr>
              <w:spacing w:after="0" w:line="259" w:lineRule="auto"/>
            </w:pPr>
            <w:r>
              <w:rPr>
                <w:rFonts w:ascii="Calibri" w:hAnsi="Calibri"/>
                <w:color w:val="1F2933"/>
                <w:sz w:val="11"/>
              </w:rPr>
              <w:t>Local thermal gradient, pressure uncertainty, depth-unit errors, structural uncertainty.</w:t>
            </w:r>
          </w:p>
        </w:tc>
        <w:tc>
          <w:tcPr>
            <w:tcW w:type="dxa" w:w="1656"/>
          </w:tcPr>
          <w:p>
            <w:pPr>
              <w:spacing w:after="0" w:line="259" w:lineRule="auto"/>
            </w:pPr>
            <w:r>
              <w:rPr>
                <w:rFonts w:ascii="Calibri" w:hAnsi="Calibri"/>
                <w:color w:val="1F2933"/>
                <w:sz w:val="11"/>
              </w:rPr>
              <w:t>Context feature, mask, or reason flag; not proof.</w:t>
            </w:r>
          </w:p>
        </w:tc>
      </w:tr>
      <w:tr>
        <w:tc>
          <w:tcPr>
            <w:tcW w:type="dxa" w:w="1656"/>
          </w:tcPr>
          <w:p>
            <w:pPr>
              <w:spacing w:after="0" w:line="259" w:lineRule="auto"/>
            </w:pPr>
            <w:r>
              <w:rPr>
                <w:rFonts w:ascii="Calibri" w:hAnsi="Calibri"/>
                <w:color w:val="1F2933"/>
                <w:sz w:val="11"/>
              </w:rPr>
              <w:t>Gamma ray and lithology</w:t>
            </w:r>
          </w:p>
        </w:tc>
        <w:tc>
          <w:tcPr>
            <w:tcW w:type="dxa" w:w="1944"/>
          </w:tcPr>
          <w:p>
            <w:pPr>
              <w:spacing w:after="0" w:line="259" w:lineRule="auto"/>
            </w:pPr>
            <w:r>
              <w:rPr>
                <w:rFonts w:ascii="Calibri" w:hAnsi="Calibri"/>
                <w:color w:val="1F2933"/>
                <w:sz w:val="11"/>
              </w:rPr>
              <w:t>Separates clean sand from shale-prone intervals.</w:t>
            </w:r>
          </w:p>
        </w:tc>
        <w:tc>
          <w:tcPr>
            <w:tcW w:type="dxa" w:w="2088"/>
          </w:tcPr>
          <w:p>
            <w:pPr>
              <w:spacing w:after="0" w:line="259" w:lineRule="auto"/>
            </w:pPr>
            <w:r>
              <w:rPr>
                <w:rFonts w:ascii="Calibri" w:hAnsi="Calibri"/>
                <w:color w:val="1F2933"/>
                <w:sz w:val="11"/>
              </w:rPr>
              <w:t>Low GR can support reservoir-quality sand.</w:t>
            </w:r>
          </w:p>
        </w:tc>
        <w:tc>
          <w:tcPr>
            <w:tcW w:type="dxa" w:w="2520"/>
          </w:tcPr>
          <w:p>
            <w:pPr>
              <w:spacing w:after="0" w:line="259" w:lineRule="auto"/>
            </w:pPr>
            <w:r>
              <w:rPr>
                <w:rFonts w:ascii="Calibri" w:hAnsi="Calibri"/>
                <w:color w:val="1F2933"/>
                <w:sz w:val="11"/>
              </w:rPr>
              <w:t>Clean sand without hydrate; radioactive minerals; shale laminations; depth mismatch.</w:t>
            </w:r>
          </w:p>
        </w:tc>
        <w:tc>
          <w:tcPr>
            <w:tcW w:type="dxa" w:w="1656"/>
          </w:tcPr>
          <w:p>
            <w:pPr>
              <w:spacing w:after="0" w:line="259" w:lineRule="auto"/>
            </w:pPr>
            <w:r>
              <w:rPr>
                <w:rFonts w:ascii="Calibri" w:hAnsi="Calibri"/>
                <w:color w:val="1F2933"/>
                <w:sz w:val="11"/>
              </w:rPr>
              <w:t>Reservoir gate and input feature; not a label.</w:t>
            </w:r>
          </w:p>
        </w:tc>
      </w:tr>
      <w:tr>
        <w:tc>
          <w:tcPr>
            <w:tcW w:type="dxa" w:w="1656"/>
          </w:tcPr>
          <w:p>
            <w:pPr>
              <w:spacing w:after="0" w:line="259" w:lineRule="auto"/>
            </w:pPr>
            <w:r>
              <w:rPr>
                <w:rFonts w:ascii="Calibri" w:hAnsi="Calibri"/>
                <w:color w:val="1F2933"/>
                <w:sz w:val="11"/>
              </w:rPr>
              <w:t>Density, porosity, neutron</w:t>
            </w:r>
          </w:p>
        </w:tc>
        <w:tc>
          <w:tcPr>
            <w:tcW w:type="dxa" w:w="1944"/>
          </w:tcPr>
          <w:p>
            <w:pPr>
              <w:spacing w:after="0" w:line="259" w:lineRule="auto"/>
            </w:pPr>
            <w:r>
              <w:rPr>
                <w:rFonts w:ascii="Calibri" w:hAnsi="Calibri"/>
                <w:color w:val="1F2933"/>
                <w:sz w:val="11"/>
              </w:rPr>
              <w:t>Constrain pore volume and elastic calculations.</w:t>
            </w:r>
          </w:p>
        </w:tc>
        <w:tc>
          <w:tcPr>
            <w:tcW w:type="dxa" w:w="2088"/>
          </w:tcPr>
          <w:p>
            <w:pPr>
              <w:spacing w:after="0" w:line="259" w:lineRule="auto"/>
            </w:pPr>
            <w:r>
              <w:rPr>
                <w:rFonts w:ascii="Calibri" w:hAnsi="Calibri"/>
                <w:color w:val="1F2933"/>
                <w:sz w:val="11"/>
              </w:rPr>
              <w:t>Porous sand can host pore-filling hydrate.</w:t>
            </w:r>
          </w:p>
        </w:tc>
        <w:tc>
          <w:tcPr>
            <w:tcW w:type="dxa" w:w="2520"/>
          </w:tcPr>
          <w:p>
            <w:pPr>
              <w:spacing w:after="0" w:line="259" w:lineRule="auto"/>
            </w:pPr>
            <w:r>
              <w:rPr>
                <w:rFonts w:ascii="Calibri" w:hAnsi="Calibri"/>
                <w:color w:val="1F2933"/>
                <w:sz w:val="11"/>
              </w:rPr>
              <w:t>Shale, carbonate, coal, compaction, unit confusion, washout.</w:t>
            </w:r>
          </w:p>
        </w:tc>
        <w:tc>
          <w:tcPr>
            <w:tcW w:type="dxa" w:w="1656"/>
          </w:tcPr>
          <w:p>
            <w:pPr>
              <w:spacing w:after="0" w:line="259" w:lineRule="auto"/>
            </w:pPr>
            <w:r>
              <w:rPr>
                <w:rFonts w:ascii="Calibri" w:hAnsi="Calibri"/>
                <w:color w:val="1F2933"/>
                <w:sz w:val="11"/>
              </w:rPr>
              <w:t>Input features and equation inputs after QC.</w:t>
            </w:r>
          </w:p>
        </w:tc>
      </w:tr>
      <w:tr>
        <w:tc>
          <w:tcPr>
            <w:tcW w:type="dxa" w:w="1656"/>
          </w:tcPr>
          <w:p>
            <w:pPr>
              <w:spacing w:after="0" w:line="259" w:lineRule="auto"/>
            </w:pPr>
            <w:r>
              <w:rPr>
                <w:rFonts w:ascii="Calibri" w:hAnsi="Calibri"/>
                <w:color w:val="1F2933"/>
                <w:sz w:val="11"/>
              </w:rPr>
              <w:t>Resistivity</w:t>
            </w:r>
          </w:p>
        </w:tc>
        <w:tc>
          <w:tcPr>
            <w:tcW w:type="dxa" w:w="1944"/>
          </w:tcPr>
          <w:p>
            <w:pPr>
              <w:spacing w:after="0" w:line="259" w:lineRule="auto"/>
            </w:pPr>
            <w:r>
              <w:rPr>
                <w:rFonts w:ascii="Calibri" w:hAnsi="Calibri"/>
                <w:color w:val="1F2933"/>
                <w:sz w:val="11"/>
              </w:rPr>
              <w:t>Hydrate can displace conductive pore water.</w:t>
            </w:r>
          </w:p>
        </w:tc>
        <w:tc>
          <w:tcPr>
            <w:tcW w:type="dxa" w:w="2088"/>
          </w:tcPr>
          <w:p>
            <w:pPr>
              <w:spacing w:after="0" w:line="259" w:lineRule="auto"/>
            </w:pPr>
            <w:r>
              <w:rPr>
                <w:rFonts w:ascii="Calibri" w:hAnsi="Calibri"/>
                <w:color w:val="1F2933"/>
                <w:sz w:val="11"/>
              </w:rPr>
              <w:t>Rt rises in clean porous sand when other evidence agrees.</w:t>
            </w:r>
          </w:p>
        </w:tc>
        <w:tc>
          <w:tcPr>
            <w:tcW w:type="dxa" w:w="2520"/>
          </w:tcPr>
          <w:p>
            <w:pPr>
              <w:spacing w:after="0" w:line="259" w:lineRule="auto"/>
            </w:pPr>
            <w:r>
              <w:rPr>
                <w:rFonts w:ascii="Calibri" w:hAnsi="Calibri"/>
                <w:color w:val="1F2933"/>
                <w:sz w:val="11"/>
              </w:rPr>
              <w:t>Free gas, ice, tight rock, cement, salinity assumptions, invasion, bad hole.</w:t>
            </w:r>
          </w:p>
        </w:tc>
        <w:tc>
          <w:tcPr>
            <w:tcW w:type="dxa" w:w="1656"/>
          </w:tcPr>
          <w:p>
            <w:pPr>
              <w:spacing w:after="0" w:line="259" w:lineRule="auto"/>
            </w:pPr>
            <w:r>
              <w:rPr>
                <w:rFonts w:ascii="Calibri" w:hAnsi="Calibri"/>
                <w:color w:val="1F2933"/>
                <w:sz w:val="11"/>
              </w:rPr>
              <w:t>Log-transform and combine with elastic, porosity, QC, and context.</w:t>
            </w:r>
          </w:p>
        </w:tc>
      </w:tr>
      <w:tr>
        <w:tc>
          <w:tcPr>
            <w:tcW w:type="dxa" w:w="1656"/>
          </w:tcPr>
          <w:p>
            <w:pPr>
              <w:spacing w:after="0" w:line="259" w:lineRule="auto"/>
            </w:pPr>
            <w:r>
              <w:rPr>
                <w:rFonts w:ascii="Calibri" w:hAnsi="Calibri"/>
                <w:color w:val="1F2933"/>
                <w:sz w:val="11"/>
              </w:rPr>
              <w:t>Vp, Vs, elastic attributes</w:t>
            </w:r>
          </w:p>
        </w:tc>
        <w:tc>
          <w:tcPr>
            <w:tcW w:type="dxa" w:w="1944"/>
          </w:tcPr>
          <w:p>
            <w:pPr>
              <w:spacing w:after="0" w:line="259" w:lineRule="auto"/>
            </w:pPr>
            <w:r>
              <w:rPr>
                <w:rFonts w:ascii="Calibri" w:hAnsi="Calibri"/>
                <w:color w:val="1F2933"/>
                <w:sz w:val="11"/>
              </w:rPr>
              <w:t>Hydrate can stiffen the sediment frame.</w:t>
            </w:r>
          </w:p>
        </w:tc>
        <w:tc>
          <w:tcPr>
            <w:tcW w:type="dxa" w:w="2088"/>
          </w:tcPr>
          <w:p>
            <w:pPr>
              <w:spacing w:after="0" w:line="259" w:lineRule="auto"/>
            </w:pPr>
            <w:r>
              <w:rPr>
                <w:rFonts w:ascii="Calibri" w:hAnsi="Calibri"/>
                <w:color w:val="1F2933"/>
                <w:sz w:val="11"/>
              </w:rPr>
              <w:t>Vp, Vs, impedance, and mu-rho may rise in hydrate-bearing sand.</w:t>
            </w:r>
          </w:p>
        </w:tc>
        <w:tc>
          <w:tcPr>
            <w:tcW w:type="dxa" w:w="2520"/>
          </w:tcPr>
          <w:p>
            <w:pPr>
              <w:spacing w:after="0" w:line="259" w:lineRule="auto"/>
            </w:pPr>
            <w:r>
              <w:rPr>
                <w:rFonts w:ascii="Calibri" w:hAnsi="Calibri"/>
                <w:color w:val="1F2933"/>
                <w:sz w:val="11"/>
              </w:rPr>
              <w:t>Ice, cement, carbonate, compaction, stress, lithology, missing shear sonic.</w:t>
            </w:r>
          </w:p>
        </w:tc>
        <w:tc>
          <w:tcPr>
            <w:tcW w:type="dxa" w:w="1656"/>
          </w:tcPr>
          <w:p>
            <w:pPr>
              <w:spacing w:after="0" w:line="259" w:lineRule="auto"/>
            </w:pPr>
            <w:r>
              <w:rPr>
                <w:rFonts w:ascii="Calibri" w:hAnsi="Calibri"/>
                <w:color w:val="1F2933"/>
                <w:sz w:val="11"/>
              </w:rPr>
              <w:t>Measured and derived features with source-curve provenance.</w:t>
            </w:r>
          </w:p>
        </w:tc>
      </w:tr>
      <w:tr>
        <w:tc>
          <w:tcPr>
            <w:tcW w:type="dxa" w:w="1656"/>
          </w:tcPr>
          <w:p>
            <w:pPr>
              <w:spacing w:after="0" w:line="259" w:lineRule="auto"/>
            </w:pPr>
            <w:r>
              <w:rPr>
                <w:rFonts w:ascii="Calibri" w:hAnsi="Calibri"/>
                <w:color w:val="1F2933"/>
                <w:sz w:val="11"/>
              </w:rPr>
              <w:t>NMR and core</w:t>
            </w:r>
          </w:p>
        </w:tc>
        <w:tc>
          <w:tcPr>
            <w:tcW w:type="dxa" w:w="1944"/>
          </w:tcPr>
          <w:p>
            <w:pPr>
              <w:spacing w:after="0" w:line="259" w:lineRule="auto"/>
            </w:pPr>
            <w:r>
              <w:rPr>
                <w:rFonts w:ascii="Calibri" w:hAnsi="Calibri"/>
                <w:color w:val="1F2933"/>
                <w:sz w:val="11"/>
              </w:rPr>
              <w:t>Independent pore-fluid, saturation, permeability, and reservoir evidence.</w:t>
            </w:r>
          </w:p>
        </w:tc>
        <w:tc>
          <w:tcPr>
            <w:tcW w:type="dxa" w:w="2088"/>
          </w:tcPr>
          <w:p>
            <w:pPr>
              <w:spacing w:after="0" w:line="259" w:lineRule="auto"/>
            </w:pPr>
            <w:r>
              <w:rPr>
                <w:rFonts w:ascii="Calibri" w:hAnsi="Calibri"/>
                <w:color w:val="1F2933"/>
                <w:sz w:val="11"/>
              </w:rPr>
              <w:t>NMR-density separation, pressure-core, or core-calibrated saturation can support labels.</w:t>
            </w:r>
          </w:p>
        </w:tc>
        <w:tc>
          <w:tcPr>
            <w:tcW w:type="dxa" w:w="2520"/>
          </w:tcPr>
          <w:p>
            <w:pPr>
              <w:spacing w:after="0" w:line="259" w:lineRule="auto"/>
            </w:pPr>
            <w:r>
              <w:rPr>
                <w:rFonts w:ascii="Calibri" w:hAnsi="Calibri"/>
                <w:color w:val="1F2933"/>
                <w:sz w:val="11"/>
              </w:rPr>
              <w:t>Clay-bound water, sparse core, depth mismatch, tool settings.</w:t>
            </w:r>
          </w:p>
        </w:tc>
        <w:tc>
          <w:tcPr>
            <w:tcW w:type="dxa" w:w="1656"/>
          </w:tcPr>
          <w:p>
            <w:pPr>
              <w:spacing w:after="0" w:line="259" w:lineRule="auto"/>
            </w:pPr>
            <w:r>
              <w:rPr>
                <w:rFonts w:ascii="Calibri" w:hAnsi="Calibri"/>
                <w:color w:val="1F2933"/>
                <w:sz w:val="11"/>
              </w:rPr>
              <w:t>Measured NMR porosity can be input; NMR-derived saturation is target/calibration.</w:t>
            </w:r>
          </w:p>
        </w:tc>
      </w:tr>
      <w:tr>
        <w:tc>
          <w:tcPr>
            <w:tcW w:type="dxa" w:w="1656"/>
          </w:tcPr>
          <w:p>
            <w:pPr>
              <w:spacing w:after="0" w:line="259" w:lineRule="auto"/>
            </w:pPr>
            <w:r>
              <w:rPr>
                <w:rFonts w:ascii="Calibri" w:hAnsi="Calibri"/>
                <w:color w:val="1F2933"/>
                <w:sz w:val="11"/>
              </w:rPr>
              <w:t>Caliper and missingness</w:t>
            </w:r>
          </w:p>
        </w:tc>
        <w:tc>
          <w:tcPr>
            <w:tcW w:type="dxa" w:w="1944"/>
          </w:tcPr>
          <w:p>
            <w:pPr>
              <w:spacing w:after="0" w:line="259" w:lineRule="auto"/>
            </w:pPr>
            <w:r>
              <w:rPr>
                <w:rFonts w:ascii="Calibri" w:hAnsi="Calibri"/>
                <w:color w:val="1F2933"/>
                <w:sz w:val="11"/>
              </w:rPr>
              <w:t>Borehole condition controls whether other logs are trustworthy.</w:t>
            </w:r>
          </w:p>
        </w:tc>
        <w:tc>
          <w:tcPr>
            <w:tcW w:type="dxa" w:w="2088"/>
          </w:tcPr>
          <w:p>
            <w:pPr>
              <w:spacing w:after="0" w:line="259" w:lineRule="auto"/>
            </w:pPr>
            <w:r>
              <w:rPr>
                <w:rFonts w:ascii="Calibri" w:hAnsi="Calibri"/>
                <w:color w:val="1F2933"/>
                <w:sz w:val="11"/>
              </w:rPr>
              <w:t>In-gauge intervals support density, sonic, neutron, and resistivity use.</w:t>
            </w:r>
          </w:p>
        </w:tc>
        <w:tc>
          <w:tcPr>
            <w:tcW w:type="dxa" w:w="2520"/>
          </w:tcPr>
          <w:p>
            <w:pPr>
              <w:spacing w:after="0" w:line="259" w:lineRule="auto"/>
            </w:pPr>
            <w:r>
              <w:rPr>
                <w:rFonts w:ascii="Calibri" w:hAnsi="Calibri"/>
                <w:color w:val="1F2933"/>
                <w:sz w:val="11"/>
              </w:rPr>
              <w:t>Unknown bit size, caliper units, washout, tool standoff.</w:t>
            </w:r>
          </w:p>
        </w:tc>
        <w:tc>
          <w:tcPr>
            <w:tcW w:type="dxa" w:w="1656"/>
          </w:tcPr>
          <w:p>
            <w:pPr>
              <w:spacing w:after="0" w:line="259" w:lineRule="auto"/>
            </w:pPr>
            <w:r>
              <w:rPr>
                <w:rFonts w:ascii="Calibri" w:hAnsi="Calibri"/>
                <w:color w:val="1F2933"/>
                <w:sz w:val="11"/>
              </w:rPr>
              <w:t>QC exclusion, downweighting, or missing-QC flag.</w:t>
            </w:r>
          </w:p>
        </w:tc>
      </w:tr>
    </w:tbl>
    <w:p>
      <w:pPr>
        <w:spacing w:after="80"/>
      </w:pPr>
    </w:p>
    <w:p>
      <w:pPr>
        <w:pStyle w:val="Heading1"/>
      </w:pPr>
      <w:r>
        <w:t>5. Equation Layer: How Raw Logs Become Project Evidence</w:t>
      </w:r>
    </w:p>
    <w:p>
      <w:pPr>
        <w:spacing w:after="140" w:line="293" w:lineRule="auto"/>
      </w:pPr>
      <w:r>
        <w:rPr>
          <w:rFonts w:ascii="Calibri" w:hAnsi="Calibri"/>
          <w:i w:val="0"/>
          <w:color w:val="1F2933"/>
          <w:sz w:val="20"/>
        </w:rPr>
        <w:t>The equation layer is the bridge between source data and the machine-learning table. It turns depth, temperature, density, sonic, resistivity, porosity, NMR, and core information into explicit evidence fields whose meaning can be reviewed. In this project, equations are not decorative math; they are the audit trail that explains how a raw curve becomes a stability flag, reservoir-capacity measure, elastic indicator, saturation baseline, calibration residual, or trainable feature.</w:t>
      </w:r>
    </w:p>
    <w:p>
      <w:pPr>
        <w:spacing w:after="140" w:line="293" w:lineRule="auto"/>
      </w:pPr>
      <w:r>
        <w:rPr>
          <w:rFonts w:ascii="Calibri" w:hAnsi="Calibri"/>
          <w:i w:val="0"/>
          <w:color w:val="1F2933"/>
          <w:sz w:val="20"/>
        </w:rPr>
        <w:t>The workflow should preserve four pieces of metadata for every equation-derived field: the source curve or reference file, the original unit, the conversion or assumption used, and the role assigned to the result. Equation outputs that are target-derived stay outside X_allowed predictors. Equation outputs that are context or review fields may support interpretation, QC, calibration, and plots, but they still do not become hydrate proof by themselves.</w:t>
      </w:r>
    </w:p>
    <w:tbl>
      <w:tblPr>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944"/>
        <w:gridCol w:w="2952"/>
        <w:gridCol w:w="2592"/>
        <w:gridCol w:w="1872"/>
      </w:tblGrid>
      <w:tr>
        <w:tc>
          <w:tcPr>
            <w:tcW w:type="dxa" w:w="1944"/>
            <w:tcMar>
              <w:top w:w="80" w:type="dxa"/>
              <w:start w:w="120" w:type="dxa"/>
              <w:bottom w:w="80" w:type="dxa"/>
              <w:end w:w="120" w:type="dxa"/>
            </w:tcMar>
            <w:vAlign w:val="center"/>
            <w:shd w:fill="F4F6F8"/>
          </w:tcPr>
          <w:p>
            <w:pPr>
              <w:spacing w:after="0"/>
            </w:pPr>
            <w:r>
              <w:rPr>
                <w:rFonts w:ascii="Calibri" w:hAnsi="Calibri"/>
                <w:b/>
                <w:color w:val="17384D"/>
                <w:sz w:val="14"/>
              </w:rPr>
              <w:t>Equation family</w:t>
            </w:r>
          </w:p>
        </w:tc>
        <w:tc>
          <w:tcPr>
            <w:tcW w:type="dxa" w:w="2952"/>
            <w:tcMar>
              <w:top w:w="80" w:type="dxa"/>
              <w:start w:w="120" w:type="dxa"/>
              <w:bottom w:w="80" w:type="dxa"/>
              <w:end w:w="120" w:type="dxa"/>
            </w:tcMar>
            <w:vAlign w:val="center"/>
            <w:shd w:fill="F4F6F8"/>
          </w:tcPr>
          <w:p>
            <w:pPr>
              <w:spacing w:after="0"/>
            </w:pPr>
            <w:r>
              <w:rPr>
                <w:rFonts w:ascii="Calibri" w:hAnsi="Calibri"/>
                <w:b/>
                <w:color w:val="17384D"/>
                <w:sz w:val="14"/>
              </w:rPr>
              <w:t>Question answered</w:t>
            </w:r>
          </w:p>
        </w:tc>
        <w:tc>
          <w:tcPr>
            <w:tcW w:type="dxa" w:w="2592"/>
            <w:tcMar>
              <w:top w:w="80" w:type="dxa"/>
              <w:start w:w="120" w:type="dxa"/>
              <w:bottom w:w="80" w:type="dxa"/>
              <w:end w:w="120" w:type="dxa"/>
            </w:tcMar>
            <w:vAlign w:val="center"/>
            <w:shd w:fill="F4F6F8"/>
          </w:tcPr>
          <w:p>
            <w:pPr>
              <w:spacing w:after="0"/>
            </w:pPr>
            <w:r>
              <w:rPr>
                <w:rFonts w:ascii="Calibri" w:hAnsi="Calibri"/>
                <w:b/>
                <w:color w:val="17384D"/>
                <w:sz w:val="14"/>
              </w:rPr>
              <w:t>Project output</w:t>
            </w:r>
          </w:p>
        </w:tc>
        <w:tc>
          <w:tcPr>
            <w:tcW w:type="dxa" w:w="1872"/>
            <w:tcMar>
              <w:top w:w="80" w:type="dxa"/>
              <w:start w:w="120" w:type="dxa"/>
              <w:bottom w:w="80" w:type="dxa"/>
              <w:end w:w="120" w:type="dxa"/>
            </w:tcMar>
            <w:vAlign w:val="center"/>
            <w:shd w:fill="F4F6F8"/>
          </w:tcPr>
          <w:p>
            <w:pPr>
              <w:spacing w:after="0"/>
            </w:pPr>
            <w:r>
              <w:rPr>
                <w:rFonts w:ascii="Calibri" w:hAnsi="Calibri"/>
                <w:b/>
                <w:color w:val="17384D"/>
                <w:sz w:val="14"/>
              </w:rPr>
              <w:t>Main guardrail</w:t>
            </w:r>
          </w:p>
        </w:tc>
      </w:tr>
      <w:tr>
        <w:tc>
          <w:tcPr>
            <w:tcW w:type="dxa" w:w="1944"/>
          </w:tcPr>
          <w:p>
            <w:pPr>
              <w:spacing w:after="0" w:line="259" w:lineRule="auto"/>
            </w:pPr>
            <w:r>
              <w:rPr>
                <w:rFonts w:ascii="Calibri" w:hAnsi="Calibri"/>
                <w:color w:val="1F2933"/>
                <w:sz w:val="12"/>
              </w:rPr>
              <w:t>Pressure-temperature stability</w:t>
            </w:r>
          </w:p>
        </w:tc>
        <w:tc>
          <w:tcPr>
            <w:tcW w:type="dxa" w:w="2952"/>
          </w:tcPr>
          <w:p>
            <w:pPr>
              <w:spacing w:after="0" w:line="259" w:lineRule="auto"/>
            </w:pPr>
            <w:r>
              <w:rPr>
                <w:rFonts w:ascii="Calibri" w:hAnsi="Calibri"/>
                <w:color w:val="1F2933"/>
                <w:sz w:val="12"/>
              </w:rPr>
              <w:t>Could methane hydrate exist at this depth?</w:t>
            </w:r>
          </w:p>
        </w:tc>
        <w:tc>
          <w:tcPr>
            <w:tcW w:type="dxa" w:w="2592"/>
          </w:tcPr>
          <w:p>
            <w:pPr>
              <w:spacing w:after="0" w:line="259" w:lineRule="auto"/>
            </w:pPr>
            <w:r>
              <w:rPr>
                <w:rFonts w:ascii="Calibri" w:hAnsi="Calibri"/>
                <w:color w:val="1F2933"/>
                <w:sz w:val="12"/>
              </w:rPr>
              <w:t>Stability admissibility, caveat codes, and pressure-temperature audit plots.</w:t>
            </w:r>
          </w:p>
        </w:tc>
        <w:tc>
          <w:tcPr>
            <w:tcW w:type="dxa" w:w="1872"/>
          </w:tcPr>
          <w:p>
            <w:pPr>
              <w:spacing w:after="0" w:line="259" w:lineRule="auto"/>
            </w:pPr>
            <w:r>
              <w:rPr>
                <w:rFonts w:ascii="Calibri" w:hAnsi="Calibri"/>
                <w:color w:val="1F2933"/>
                <w:sz w:val="12"/>
              </w:rPr>
              <w:t>Necessary context only; not hydrate proof.</w:t>
            </w:r>
          </w:p>
        </w:tc>
      </w:tr>
      <w:tr>
        <w:tc>
          <w:tcPr>
            <w:tcW w:type="dxa" w:w="1944"/>
          </w:tcPr>
          <w:p>
            <w:pPr>
              <w:spacing w:after="0" w:line="259" w:lineRule="auto"/>
            </w:pPr>
            <w:r>
              <w:rPr>
                <w:rFonts w:ascii="Calibri" w:hAnsi="Calibri"/>
                <w:color w:val="1F2933"/>
                <w:sz w:val="12"/>
              </w:rPr>
              <w:t>Unit and curve conversion</w:t>
            </w:r>
          </w:p>
        </w:tc>
        <w:tc>
          <w:tcPr>
            <w:tcW w:type="dxa" w:w="2952"/>
          </w:tcPr>
          <w:p>
            <w:pPr>
              <w:spacing w:after="0" w:line="259" w:lineRule="auto"/>
            </w:pPr>
            <w:r>
              <w:rPr>
                <w:rFonts w:ascii="Calibri" w:hAnsi="Calibri"/>
                <w:color w:val="1F2933"/>
                <w:sz w:val="12"/>
              </w:rPr>
              <w:t>Are depth, density, velocity, and slowness comparable?</w:t>
            </w:r>
          </w:p>
        </w:tc>
        <w:tc>
          <w:tcPr>
            <w:tcW w:type="dxa" w:w="2592"/>
          </w:tcPr>
          <w:p>
            <w:pPr>
              <w:spacing w:after="0" w:line="259" w:lineRule="auto"/>
            </w:pPr>
            <w:r>
              <w:rPr>
                <w:rFonts w:ascii="Calibri" w:hAnsi="Calibri"/>
                <w:color w:val="1F2933"/>
                <w:sz w:val="12"/>
              </w:rPr>
              <w:t>Canonical depth, density, Vp, Vs, and provenance fields.</w:t>
            </w:r>
          </w:p>
        </w:tc>
        <w:tc>
          <w:tcPr>
            <w:tcW w:type="dxa" w:w="1872"/>
          </w:tcPr>
          <w:p>
            <w:pPr>
              <w:spacing w:after="0" w:line="259" w:lineRule="auto"/>
            </w:pPr>
            <w:r>
              <w:rPr>
                <w:rFonts w:ascii="Calibri" w:hAnsi="Calibri"/>
                <w:color w:val="1F2933"/>
                <w:sz w:val="12"/>
              </w:rPr>
              <w:t>Unit mistakes make later equations wrong.</w:t>
            </w:r>
          </w:p>
        </w:tc>
      </w:tr>
      <w:tr>
        <w:tc>
          <w:tcPr>
            <w:tcW w:type="dxa" w:w="1944"/>
          </w:tcPr>
          <w:p>
            <w:pPr>
              <w:spacing w:after="0" w:line="259" w:lineRule="auto"/>
            </w:pPr>
            <w:r>
              <w:rPr>
                <w:rFonts w:ascii="Calibri" w:hAnsi="Calibri"/>
                <w:color w:val="1F2933"/>
                <w:sz w:val="12"/>
              </w:rPr>
              <w:t>Porosity and reservoir capacity</w:t>
            </w:r>
          </w:p>
        </w:tc>
        <w:tc>
          <w:tcPr>
            <w:tcW w:type="dxa" w:w="2952"/>
          </w:tcPr>
          <w:p>
            <w:pPr>
              <w:spacing w:after="0" w:line="259" w:lineRule="auto"/>
            </w:pPr>
            <w:r>
              <w:rPr>
                <w:rFonts w:ascii="Calibri" w:hAnsi="Calibri"/>
                <w:color w:val="1F2933"/>
                <w:sz w:val="12"/>
              </w:rPr>
              <w:t>Can the rock host pore-filling hydrate?</w:t>
            </w:r>
          </w:p>
        </w:tc>
        <w:tc>
          <w:tcPr>
            <w:tcW w:type="dxa" w:w="2592"/>
          </w:tcPr>
          <w:p>
            <w:pPr>
              <w:spacing w:after="0" w:line="259" w:lineRule="auto"/>
            </w:pPr>
            <w:r>
              <w:rPr>
                <w:rFonts w:ascii="Calibri" w:hAnsi="Calibri"/>
                <w:color w:val="1F2933"/>
                <w:sz w:val="12"/>
              </w:rPr>
              <w:t>Porosity features, reservoir gate, and core/NMR comparison fields.</w:t>
            </w:r>
          </w:p>
        </w:tc>
        <w:tc>
          <w:tcPr>
            <w:tcW w:type="dxa" w:w="1872"/>
          </w:tcPr>
          <w:p>
            <w:pPr>
              <w:spacing w:after="0" w:line="259" w:lineRule="auto"/>
            </w:pPr>
            <w:r>
              <w:rPr>
                <w:rFonts w:ascii="Calibri" w:hAnsi="Calibri"/>
                <w:color w:val="1F2933"/>
                <w:sz w:val="12"/>
              </w:rPr>
              <w:t>Porosity is capacity, not occurrence.</w:t>
            </w:r>
          </w:p>
        </w:tc>
      </w:tr>
      <w:tr>
        <w:tc>
          <w:tcPr>
            <w:tcW w:type="dxa" w:w="1944"/>
          </w:tcPr>
          <w:p>
            <w:pPr>
              <w:spacing w:after="0" w:line="259" w:lineRule="auto"/>
            </w:pPr>
            <w:r>
              <w:rPr>
                <w:rFonts w:ascii="Calibri" w:hAnsi="Calibri"/>
                <w:color w:val="1F2933"/>
                <w:sz w:val="12"/>
              </w:rPr>
              <w:t>Elastic feature engineering</w:t>
            </w:r>
          </w:p>
        </w:tc>
        <w:tc>
          <w:tcPr>
            <w:tcW w:type="dxa" w:w="2952"/>
          </w:tcPr>
          <w:p>
            <w:pPr>
              <w:spacing w:after="0" w:line="259" w:lineRule="auto"/>
            </w:pPr>
            <w:r>
              <w:rPr>
                <w:rFonts w:ascii="Calibri" w:hAnsi="Calibri"/>
                <w:color w:val="1F2933"/>
                <w:sz w:val="12"/>
              </w:rPr>
              <w:t>Does the interval stiffen like hydrate-bearing sediment?</w:t>
            </w:r>
          </w:p>
        </w:tc>
        <w:tc>
          <w:tcPr>
            <w:tcW w:type="dxa" w:w="2592"/>
          </w:tcPr>
          <w:p>
            <w:pPr>
              <w:spacing w:after="0" w:line="259" w:lineRule="auto"/>
            </w:pPr>
            <w:r>
              <w:rPr>
                <w:rFonts w:ascii="Calibri" w:hAnsi="Calibri"/>
                <w:color w:val="1F2933"/>
                <w:sz w:val="12"/>
              </w:rPr>
              <w:t>Vp/Vs, impedance, G, K, E/YM, PR/nu, SI, MR, LR, lambda-rho, mu-rho, and brittleness terms.</w:t>
            </w:r>
          </w:p>
        </w:tc>
        <w:tc>
          <w:tcPr>
            <w:tcW w:type="dxa" w:w="1872"/>
          </w:tcPr>
          <w:p>
            <w:pPr>
              <w:spacing w:after="0" w:line="259" w:lineRule="auto"/>
            </w:pPr>
            <w:r>
              <w:rPr>
                <w:rFonts w:ascii="Calibri" w:hAnsi="Calibri"/>
                <w:color w:val="1F2933"/>
                <w:sz w:val="12"/>
              </w:rPr>
              <w:t>Ice, cement, carbonate, stress, lithology, and bad hole can mimic stiffness.</w:t>
            </w:r>
          </w:p>
        </w:tc>
      </w:tr>
      <w:tr>
        <w:tc>
          <w:tcPr>
            <w:tcW w:type="dxa" w:w="1944"/>
          </w:tcPr>
          <w:p>
            <w:pPr>
              <w:spacing w:after="0" w:line="259" w:lineRule="auto"/>
            </w:pPr>
            <w:r>
              <w:rPr>
                <w:rFonts w:ascii="Calibri" w:hAnsi="Calibri"/>
                <w:color w:val="1F2933"/>
                <w:sz w:val="12"/>
              </w:rPr>
              <w:t>Resistivity saturation baseline</w:t>
            </w:r>
          </w:p>
        </w:tc>
        <w:tc>
          <w:tcPr>
            <w:tcW w:type="dxa" w:w="2952"/>
          </w:tcPr>
          <w:p>
            <w:pPr>
              <w:spacing w:after="0" w:line="259" w:lineRule="auto"/>
            </w:pPr>
            <w:r>
              <w:rPr>
                <w:rFonts w:ascii="Calibri" w:hAnsi="Calibri"/>
                <w:color w:val="1F2933"/>
                <w:sz w:val="12"/>
              </w:rPr>
              <w:t>What saturation would a transparent petrophysical baseline imply?</w:t>
            </w:r>
          </w:p>
        </w:tc>
        <w:tc>
          <w:tcPr>
            <w:tcW w:type="dxa" w:w="2592"/>
          </w:tcPr>
          <w:p>
            <w:pPr>
              <w:spacing w:after="0" w:line="259" w:lineRule="auto"/>
            </w:pPr>
            <w:r>
              <w:rPr>
                <w:rFonts w:ascii="Calibri" w:hAnsi="Calibri"/>
                <w:color w:val="1F2933"/>
                <w:sz w:val="12"/>
              </w:rPr>
              <w:t>Archie-style Sw/Sh review fields.</w:t>
            </w:r>
          </w:p>
        </w:tc>
        <w:tc>
          <w:tcPr>
            <w:tcW w:type="dxa" w:w="1872"/>
          </w:tcPr>
          <w:p>
            <w:pPr>
              <w:spacing w:after="0" w:line="259" w:lineRule="auto"/>
            </w:pPr>
            <w:r>
              <w:rPr>
                <w:rFonts w:ascii="Calibri" w:hAnsi="Calibri"/>
                <w:color w:val="1F2933"/>
                <w:sz w:val="12"/>
              </w:rPr>
              <w:t>Do not use Archie-derived Sh as a predictor if it is target-derived.</w:t>
            </w:r>
          </w:p>
        </w:tc>
      </w:tr>
      <w:tr>
        <w:tc>
          <w:tcPr>
            <w:tcW w:type="dxa" w:w="1944"/>
          </w:tcPr>
          <w:p>
            <w:pPr>
              <w:spacing w:after="0" w:line="259" w:lineRule="auto"/>
            </w:pPr>
            <w:r>
              <w:rPr>
                <w:rFonts w:ascii="Calibri" w:hAnsi="Calibri"/>
                <w:color w:val="1F2933"/>
                <w:sz w:val="12"/>
              </w:rPr>
              <w:t>ML preprocessing</w:t>
            </w:r>
          </w:p>
        </w:tc>
        <w:tc>
          <w:tcPr>
            <w:tcW w:type="dxa" w:w="2952"/>
          </w:tcPr>
          <w:p>
            <w:pPr>
              <w:spacing w:after="0" w:line="259" w:lineRule="auto"/>
            </w:pPr>
            <w:r>
              <w:rPr>
                <w:rFonts w:ascii="Calibri" w:hAnsi="Calibri"/>
                <w:color w:val="1F2933"/>
                <w:sz w:val="12"/>
              </w:rPr>
              <w:t>How are features scaled without leaking validation information?</w:t>
            </w:r>
          </w:p>
        </w:tc>
        <w:tc>
          <w:tcPr>
            <w:tcW w:type="dxa" w:w="2592"/>
          </w:tcPr>
          <w:p>
            <w:pPr>
              <w:spacing w:after="0" w:line="259" w:lineRule="auto"/>
            </w:pPr>
            <w:r>
              <w:rPr>
                <w:rFonts w:ascii="Calibri" w:hAnsi="Calibri"/>
                <w:color w:val="1F2933"/>
                <w:sz w:val="12"/>
              </w:rPr>
              <w:t>Train-only normalized features and preprocessing metadata.</w:t>
            </w:r>
          </w:p>
        </w:tc>
        <w:tc>
          <w:tcPr>
            <w:tcW w:type="dxa" w:w="1872"/>
          </w:tcPr>
          <w:p>
            <w:pPr>
              <w:spacing w:after="0" w:line="259" w:lineRule="auto"/>
            </w:pPr>
            <w:r>
              <w:rPr>
                <w:rFonts w:ascii="Calibri" w:hAnsi="Calibri"/>
                <w:color w:val="1F2933"/>
                <w:sz w:val="12"/>
              </w:rPr>
              <w:t>Validation, test, and prediction wells cannot influence fitted transforms.</w:t>
            </w:r>
          </w:p>
        </w:tc>
      </w:tr>
    </w:tbl>
    <w:p>
      <w:pPr>
        <w:spacing w:after="80"/>
      </w:pPr>
    </w:p>
    <w:p>
      <w:pPr>
        <w:pStyle w:val="Heading3"/>
        <w:keepNext/>
      </w:pPr>
      <w:r>
        <w:t>5.1 Hydrostatic Pressure</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pressure_gradient_mpa_per_m = (rho_w_kg_m3 * g_m_s2) / 1,000,000; P_abs(z) = surface_pressure_mpa + pressure_gradient_mpa_per_m * z_m</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This converts depth into an assumed absolute pore pressure using water density, gravity, and surface pressure. It supplies a first-pass pressure condition for each depth sample.</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pressure value feeds the hydrate-stability screen and pressure-temperature audit plots before any occurrence or saturation model is trained.</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This is a hydrostatic screening assumption. It ignores overpressure, capillary effects, gas columns, salinity effects, and local pressure measurements unless those are later approved.</w:t>
            </w:r>
          </w:p>
        </w:tc>
      </w:tr>
    </w:tbl>
    <w:p>
      <w:pPr>
        <w:spacing w:after="40"/>
      </w:pPr>
    </w:p>
    <w:p>
      <w:pPr>
        <w:pStyle w:val="Heading3"/>
        <w:keepNext/>
      </w:pPr>
      <w:r>
        <w:t>5.2 Temperature Profile</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T_model(z) = interpolated G10015 temperature profile; below measured depth, T_model(z) may use a recorded geothermal gradient</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This assigns a model temperature to each depth by interpolation within an approved temperature profile, with clearly marked extrapolation if the depth extends below the measured interval.</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Temperature is paired with pressure to decide whether a depth is physically admissible for hydrate stability and to mark intervals needing caveats.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A stability call should be blocked or caveated if the temperature profile, gradient, depth datum, or extrapolation interval is not documented.</w:t>
            </w:r>
          </w:p>
        </w:tc>
      </w:tr>
    </w:tbl>
    <w:p>
      <w:pPr>
        <w:spacing w:after="40"/>
      </w:pPr>
    </w:p>
    <w:p>
      <w:pPr>
        <w:pStyle w:val="Heading3"/>
        <w:keepNext/>
      </w:pPr>
      <w:r>
        <w:t>5.3 Phase-Curve Lookup and Stability Test</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T_eq = phase_curve_equilibrium_temperature_c(P_abs); is_stable = T_model &lt;= T_eq</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methane-hydrate phase curve gives the equilibrium temperature at the modeled pressure. If the modeled temperature is cooler than or equal to that value, hydrate is thermodynamically admissible.</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This produces stability top, base, thickness, penetrated stable interval, and context flags for later reservoir and ML review.</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source curve version, methane composition, and salinity assumption must be visible. Stability is necessary context, not a hydrate-occurrence label.</w:t>
            </w:r>
          </w:p>
        </w:tc>
      </w:tr>
    </w:tbl>
    <w:p>
      <w:pPr>
        <w:spacing w:after="40"/>
      </w:pPr>
    </w:p>
    <w:p>
      <w:pPr>
        <w:pStyle w:val="Heading3"/>
        <w:keepNext/>
      </w:pPr>
      <w:r>
        <w:t>5.4 Depth and Unit Conversion</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depth_m = depth_ft * 0.3048; rho_g_cc = rho_kg_m3 / 1000; phi_vv = phi_percent / 100 when source is percent</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This puts depth, density, and porosity into canonical units before equations are run. It also prevents values from different sources from being mixed at incompatible scales.</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Unit-converted fields become the approved inputs to stability, porosity, elastic, saturation, and ML feature calculations.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original header, source unit, and conversion rule must remain attached. Saturation and porosity fractions must not be confused with percentages.</w:t>
            </w:r>
          </w:p>
        </w:tc>
      </w:tr>
    </w:tbl>
    <w:p>
      <w:pPr>
        <w:spacing w:after="40"/>
      </w:pPr>
    </w:p>
    <w:p>
      <w:pPr>
        <w:pStyle w:val="Heading3"/>
        <w:keepNext/>
      </w:pPr>
      <w:r>
        <w:t>5.5 Density Porosity</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phi_D = (rho_matrix - rho_bulk) / (rho_matrix - rho_fluid)</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Bulk density is converted to a porosity estimate by comparing it with assumed matrix and fluid densities. The result estimates pore volume available for water, gas, or hydrate.</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Density porosity supports the reservoir-capacity gate, saturation normalization, and comparison against NMR porosity or core porosity.</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Matrix and fluid assumptions must be documented. Shale, coal, carbonate, gas effect, washout, and bad density correction can all distort this feature.</w:t>
            </w:r>
          </w:p>
        </w:tc>
      </w:tr>
    </w:tbl>
    <w:p>
      <w:pPr>
        <w:spacing w:after="40"/>
      </w:pPr>
    </w:p>
    <w:p>
      <w:pPr>
        <w:pStyle w:val="Heading3"/>
        <w:keepNext/>
      </w:pPr>
      <w:r>
        <w:t>5.6 Sonic Slowness to Velocity</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Vp = 1 / DT; Vs = 1 / DTS after converting slowness units consistently</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Compressional and shear sonic slowness can be inverted into velocity only after the time and length units are made consistent.</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Vp and Vs are measured or derived inputs for Vp/Vs, impedance, moduli, lambda-rho, mu-rho, and elastic crossplots.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runtime should record whether velocity was supplied directly or calculated from slowness. Do not mix ft/us, us/ft, m/s, and km/s without explicit conversion.</w:t>
            </w:r>
          </w:p>
        </w:tc>
      </w:tr>
    </w:tbl>
    <w:p>
      <w:pPr>
        <w:spacing w:after="40"/>
      </w:pPr>
    </w:p>
    <w:p>
      <w:pPr>
        <w:pStyle w:val="Heading3"/>
        <w:keepNext/>
      </w:pPr>
      <w:r>
        <w:t>5.7 Velocity Ratio</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VpVs = Vp / Vs</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velocity ratio compares compressional and shear response. Hydrate-bearing sand may separate from gas-bearing or water-bearing intervals when this ratio is interpreted with lithology, porosity, and resistivity.</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Vp/Vs is an elastic crossplot feature and a model input only where both Vp and Vs pass QC.</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ratio is not diagnostic alone. Missing shear sonic, ice, cement, carbonate, stress, and lithology changes can all move it.</w:t>
            </w:r>
          </w:p>
        </w:tc>
      </w:tr>
    </w:tbl>
    <w:p>
      <w:pPr>
        <w:spacing w:after="40"/>
      </w:pPr>
    </w:p>
    <w:p>
      <w:pPr>
        <w:pStyle w:val="Heading3"/>
        <w:keepNext/>
      </w:pPr>
      <w:r>
        <w:t>5.8 Acoustic Impedance</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AI = rho_bulk * Vp</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Acoustic impedance combines density and compressional velocity into a stiffness-sensitive property used in log and seismic interpretation.</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AI becomes an elastic feature and review-plot field for identifying intervals that may have hydrate-related stiffening.</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Compaction, cement, carbonate content, lithology, and bad density or sonic data can mimic the same increase. AI should be read with QC and reservoir context.</w:t>
            </w:r>
          </w:p>
        </w:tc>
      </w:tr>
    </w:tbl>
    <w:p>
      <w:pPr>
        <w:spacing w:after="40"/>
      </w:pPr>
    </w:p>
    <w:p>
      <w:pPr>
        <w:pStyle w:val="Heading3"/>
        <w:keepNext/>
      </w:pPr>
      <w:r>
        <w:t>5.9 Shear and Bulk Moduli</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G = rho * Vs^2; K = rho * (Vp^2 - 4/3 * Vs^2)</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Shear modulus G measures resistance to shape change, while bulk modulus K measures resistance to compression. Hydrate that stiffens the sediment frame can affect both.</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These moduli feed elastic feature tables, crossplots, mimic flags, and optional model inputs where density, Vp, and Vs are trusted.</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Units must be internally consistent. Ice, cement, carbonate, stress, lithology, and density or sonic errors can produce false hydrate-like stiffness.</w:t>
            </w:r>
          </w:p>
        </w:tc>
      </w:tr>
    </w:tbl>
    <w:p>
      <w:pPr>
        <w:spacing w:after="40"/>
      </w:pPr>
    </w:p>
    <w:p>
      <w:pPr>
        <w:pStyle w:val="Heading3"/>
        <w:keepNext/>
      </w:pPr>
      <w:r>
        <w:t>5.10 Young's Modulus and Poisson's Ratio</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YM = rho*Vs^2*(3*Vp^2 - 4*Vs^2)/(Vp^2 - Vs^2); E = 9*K*G/(3*K + G); PR = (Vp^2 - 2*Vs^2)/(2*(Vp^2 - Vs^2))</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Young's modulus summarizes elastic stiffness, and Poisson's ratio describes lateral strain response. The screenshot form uses rho, Vp, and Vs directly; the K/G form is the same elastic relationship after moduli are calculated.</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They are secondary elastic attributes for QC, crossplots, and optional model features after primary velocity and moduli fields pass review.</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Because they inherit every density, Vp, Vs, K, and G error, they should be excluded or flagged when source curves fail QC.</w:t>
            </w:r>
          </w:p>
        </w:tc>
      </w:tr>
    </w:tbl>
    <w:p>
      <w:pPr>
        <w:spacing w:after="40"/>
      </w:pPr>
    </w:p>
    <w:p>
      <w:pPr>
        <w:pStyle w:val="Heading3"/>
        <w:keepNext/>
      </w:pPr>
      <w:r>
        <w:t>5.11 Lambda, Mu, Lambda-Rho, and Mu-Rho</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lambda = K - 2/3*G; mu = G; lambda_rho = lambda * rho; mu_rho = mu * rho</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Lambda and mu split the elastic response into incompressibility and shear rigidity terms. Multiplying by density creates lambda-rho and mu-rho attributes often used in hydrate and fluid discrimination.</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Mu-rho is especially useful because pore-filling hydrate can increase shear rigidity, while free gas may not. These fields support elastic crossplots and model features.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fields must carry source-curve provenance and units. Gas, ice, cement, carbonate, stress, and lithology effects still require mimic flags.</w:t>
            </w:r>
          </w:p>
        </w:tc>
      </w:tr>
    </w:tbl>
    <w:p>
      <w:pPr>
        <w:spacing w:after="40"/>
      </w:pPr>
    </w:p>
    <w:p>
      <w:pPr>
        <w:pStyle w:val="Heading3"/>
        <w:keepNext/>
      </w:pPr>
      <w:r>
        <w:t>5.12 Shear Impedance and LR/MR Terms</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AI = rho*Vp; SI = rho*Vs; MR = (Vs*rho)^2 = SI^2; LR = (Vp*rho)^2 - 2*(Vs*rho)^2 = AI^2 - 2*SI^2</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LR and MR formulation writes the lambda-rho and mu-rho family using acoustic impedance AI and shear impedance SI. MR is the squared shear-impedance term, while LR is the incompressibility-sensitive term.</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These terms support the same elastic crossplot logic as lambda-rho and mu-rho and help compare rigidity and incompressibility behavior.</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AI and SI require consistent density and velocity units. Treat LR/MR as derived feature candidates only after source curves, units, and sonic QC pass.</w:t>
            </w:r>
          </w:p>
        </w:tc>
      </w:tr>
    </w:tbl>
    <w:p>
      <w:pPr>
        <w:spacing w:after="40"/>
      </w:pPr>
    </w:p>
    <w:p>
      <w:pPr>
        <w:pStyle w:val="Heading3"/>
        <w:keepNext/>
      </w:pPr>
      <w:r>
        <w:t>5.13 Brittleness Index Terms</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BR_YM = ((YM - 1)/(8 - 1))*100; BR_PR = ((PR - 0.4)/(0.15 - 0.4))*100; BRIT_TOTAL = (BR_YM + BR_PR)/2</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brittleness formulation uses Young's modulus and Poisson's ratio to form normalized brittleness terms. These describe mechanical brittleness, not hydrate occurrence by themselves.</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Brittleness can be reviewed as an optional geomechanical feature or mimic flag when the project compares hydrate-bearing intervals with stiff, cemented, or fractured intervals.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The constants are screenshot/source-framework normalization choices. They need mentor/source confirmation before being treated as final DOE formulas or model inputs.</w:t>
            </w:r>
          </w:p>
        </w:tc>
      </w:tr>
    </w:tbl>
    <w:p>
      <w:pPr>
        <w:spacing w:after="40"/>
      </w:pPr>
    </w:p>
    <w:p>
      <w:pPr>
        <w:pStyle w:val="Heading3"/>
        <w:keepNext/>
      </w:pPr>
      <w:r>
        <w:t>5.14 Archie-Style Water and Hydrate Saturation</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S_w^n = a * R_w / (R_t * phi^m); Sh approximates 1 - S_w</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Archie's relationship estimates water saturation from resistivity, porosity, water resistivity, and empirical exponents. Hydrate saturation can be approximated as the remaining pore fraction where assumptions are valid.</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Archie-style saturation belongs first as a transparent physics baseline, review field, or calibration comparison against NMR/core-derived saturation.</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It should not enter predictors if it is derived from the same target being learned. Rw, phi source, shale correction, a, m, n, and calibration must be documented.</w:t>
            </w:r>
          </w:p>
        </w:tc>
      </w:tr>
    </w:tbl>
    <w:p>
      <w:pPr>
        <w:spacing w:after="40"/>
      </w:pPr>
    </w:p>
    <w:p>
      <w:pPr>
        <w:pStyle w:val="Heading3"/>
        <w:keepNext/>
      </w:pPr>
      <w:r>
        <w:t>5.15 NMR/Core Calibration Residual</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residual = model_or_log_derived_saturation - NMR_or_core_reference_saturation</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residual measures how far a model or log-derived saturation estimate differs from an independent NMR or core reference.</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Residuals help diagnose calibration bias, depth mismatch, facies sensitivity, and whether the runtime is overfitting a particular source of labels.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NMR/core references are often sparse and depth-sensitive. Residual review requires approved depth matching, reference authority, and uncertainty notes.</w:t>
            </w:r>
          </w:p>
        </w:tc>
      </w:tr>
    </w:tbl>
    <w:p>
      <w:pPr>
        <w:spacing w:after="40"/>
      </w:pPr>
    </w:p>
    <w:p>
      <w:pPr>
        <w:pStyle w:val="Heading3"/>
        <w:keepNext/>
      </w:pPr>
      <w:r>
        <w:t>5.16 Train-Only Feature Scaling</w:t>
      </w:r>
    </w:p>
    <w:tbl>
      <w:tblPr>
        <w:tblW w:type="dxa" w:w="9360"/>
        <w:jc w:val="left"/>
        <w:tblLayout w:type="fixed"/>
        <w:tblLook w:firstColumn="1" w:firstRow="1" w:lastColumn="0" w:lastRow="0" w:noHBand="0" w:noVBand="1" w:val="04A0"/>
        <w:tblInd w:w="120" w:type="dxa"/>
        <w:tblBorders>
          <w:top w:val="single" w:sz="6" w:space="0" w:color="B7C7D6"/>
          <w:left w:val="single" w:sz="6" w:space="0" w:color="B7C7D6"/>
          <w:bottom w:val="single" w:sz="6" w:space="0" w:color="B7C7D6"/>
          <w:right w:val="single" w:sz="6" w:space="0" w:color="B7C7D6"/>
          <w:insideH w:val="single" w:sz="6" w:space="0" w:color="B7C7D6"/>
          <w:insideV w:val="single" w:sz="6" w:space="0" w:color="B7C7D6"/>
        </w:tblBorders>
      </w:tblPr>
      <w:tblGrid>
        <w:gridCol w:w="1800"/>
        <w:gridCol w:w="7560"/>
      </w:tblGrid>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Equation</w:t>
            </w:r>
          </w:p>
        </w:tc>
        <w:tc>
          <w:tcPr>
            <w:tcW w:type="dxa" w:w="7560"/>
            <w:tcMar>
              <w:top w:w="80" w:type="dxa"/>
              <w:start w:w="120" w:type="dxa"/>
              <w:bottom w:w="80" w:type="dxa"/>
              <w:end w:w="120" w:type="dxa"/>
            </w:tcMar>
            <w:vAlign w:val="center"/>
          </w:tcPr>
          <w:p>
            <w:pPr>
              <w:keepNext/>
              <w:spacing w:after="0" w:line="259" w:lineRule="auto"/>
            </w:pPr>
            <w:r>
              <w:rPr>
                <w:rFonts w:ascii="Consolas" w:hAnsi="Consolas"/>
                <w:color w:val="1F2933"/>
                <w:sz w:val="14"/>
              </w:rPr>
              <w:t>x_scaled = (x - min_train) / (max_train - min_train)</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What it means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Feature scaling maps a numeric curve into a comparable range using only training-well statistics.</w:t>
            </w:r>
          </w:p>
        </w:tc>
      </w:tr>
      <w:tr>
        <w:trPr>
          <w:cantSplit/>
        </w:trPr>
        <w:tc>
          <w:tcPr>
            <w:tcW w:type="dxa" w:w="1800"/>
            <w:tcMar>
              <w:top w:w="80" w:type="dxa"/>
              <w:start w:w="120" w:type="dxa"/>
              <w:bottom w:w="80" w:type="dxa"/>
              <w:end w:w="120" w:type="dxa"/>
            </w:tcMar>
            <w:vAlign w:val="center"/>
            <w:shd w:fill="F4F6F8"/>
          </w:tcPr>
          <w:p>
            <w:pPr>
              <w:keepNext/>
              <w:spacing w:after="0"/>
            </w:pPr>
            <w:r>
              <w:rPr>
                <w:rFonts w:ascii="Calibri" w:hAnsi="Calibri"/>
                <w:b/>
                <w:color w:val="17384D"/>
                <w:sz w:val="14"/>
              </w:rPr>
              <w:t>Where it enters</w:t>
            </w:r>
          </w:p>
        </w:tc>
        <w:tc>
          <w:tcPr>
            <w:tcW w:type="dxa" w:w="7560"/>
            <w:tcMar>
              <w:top w:w="80" w:type="dxa"/>
              <w:start w:w="120" w:type="dxa"/>
              <w:bottom w:w="80" w:type="dxa"/>
              <w:end w:w="120" w:type="dxa"/>
            </w:tcMar>
            <w:vAlign w:val="center"/>
          </w:tcPr>
          <w:p>
            <w:pPr>
              <w:keepNext/>
              <w:spacing w:after="0" w:line="259" w:lineRule="auto"/>
            </w:pPr>
            <w:r>
              <w:rPr>
                <w:rFonts w:ascii="Calibri" w:hAnsi="Calibri"/>
                <w:color w:val="1F2933"/>
                <w:sz w:val="14"/>
              </w:rPr>
              <w:t>The scaled values feed ML models while the fitted min and max are saved as preprocessing metadata and applied unchanged to validation, test, and prediction wells.</w:t>
            </w:r>
          </w:p>
        </w:tc>
      </w:tr>
      <w:tr>
        <w:trPr>
          <w:cantSplit/>
        </w:trPr>
        <w:tc>
          <w:tcPr>
            <w:tcW w:type="dxa" w:w="1800"/>
            <w:tcMar>
              <w:top w:w="80" w:type="dxa"/>
              <w:start w:w="120" w:type="dxa"/>
              <w:bottom w:w="80" w:type="dxa"/>
              <w:end w:w="120" w:type="dxa"/>
            </w:tcMar>
            <w:vAlign w:val="center"/>
            <w:shd w:fill="F4F6F8"/>
          </w:tcPr>
          <w:p>
            <w:pPr>
              <w:keepNext w:val="0"/>
              <w:spacing w:after="0"/>
            </w:pPr>
            <w:r>
              <w:rPr>
                <w:rFonts w:ascii="Calibri" w:hAnsi="Calibri"/>
                <w:b/>
                <w:color w:val="17384D"/>
                <w:sz w:val="14"/>
              </w:rPr>
              <w:t>Guardrail</w:t>
            </w:r>
          </w:p>
        </w:tc>
        <w:tc>
          <w:tcPr>
            <w:tcW w:type="dxa" w:w="7560"/>
            <w:tcMar>
              <w:top w:w="80" w:type="dxa"/>
              <w:start w:w="120" w:type="dxa"/>
              <w:bottom w:w="80" w:type="dxa"/>
              <w:end w:w="120" w:type="dxa"/>
            </w:tcMar>
            <w:vAlign w:val="center"/>
          </w:tcPr>
          <w:p>
            <w:pPr>
              <w:keepNext w:val="0"/>
              <w:spacing w:after="0" w:line="259" w:lineRule="auto"/>
            </w:pPr>
            <w:r>
              <w:rPr>
                <w:rFonts w:ascii="Calibri" w:hAnsi="Calibri"/>
                <w:color w:val="1F2933"/>
                <w:sz w:val="14"/>
              </w:rPr>
              <w:t>Never fit scalers on validation, locked-test, or prediction wells. That would leak information and make model performance look better than it is.</w:t>
            </w:r>
          </w:p>
        </w:tc>
      </w:tr>
    </w:tbl>
    <w:p>
      <w:pPr>
        <w:spacing w:after="40"/>
      </w:pPr>
    </w:p>
    <w:p>
      <w:pPr>
        <w:pStyle w:val="Heading1"/>
      </w:pPr>
      <w:r>
        <w:t>6. Feature Engineering and Screening Envelopes</w:t>
      </w:r>
    </w:p>
    <w:p>
      <w:pPr>
        <w:spacing w:after="140" w:line="293" w:lineRule="auto"/>
      </w:pPr>
      <w:r>
        <w:rPr>
          <w:rFonts w:ascii="Calibri" w:hAnsi="Calibri"/>
          <w:i w:val="0"/>
          <w:color w:val="1F2933"/>
          <w:sz w:val="20"/>
        </w:rPr>
        <w:t>The feature matrix should begin with measured curves and clearly separated context fields. Derived features should be generated only after unit checks, source-curve provenance, and QC status are known. Examples include Vp/Vs, acoustic impedance, shear modulus, bulk modulus, Young's modulus, Poisson's ratio, lambda-rho, and mu-rho. Archie-style saturation should be treated as a physics baseline or review reference unless the source of water resistivity, Archie exponents, shale correction, and calibration are documented.</w:t>
      </w:r>
    </w:p>
    <w:p>
      <w:pPr>
        <w:spacing w:after="140" w:line="293" w:lineRule="auto"/>
      </w:pPr>
      <w:r>
        <w:rPr>
          <w:rFonts w:ascii="Calibri" w:hAnsi="Calibri"/>
          <w:i w:val="0"/>
          <w:color w:val="1F2933"/>
          <w:sz w:val="20"/>
        </w:rPr>
        <w:t>The working property ranges are useful as screening envelopes for crossplots, QC review, and feature sanity checks. They are not final cutoffs. The authorized runtime must calibrate these envelopes against approved saturation, NMR, core, and interpreted labels before any result claim is made.</w:t>
      </w:r>
    </w:p>
    <w:tbl>
      <w:tblPr>
        <w:tblW w:type="dxa" w:w="9504"/>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440"/>
        <w:gridCol w:w="2520"/>
        <w:gridCol w:w="2304"/>
        <w:gridCol w:w="3240"/>
      </w:tblGrid>
      <w:tr>
        <w:tc>
          <w:tcPr>
            <w:tcW w:type="dxa" w:w="1440"/>
            <w:tcMar>
              <w:top w:w="80" w:type="dxa"/>
              <w:start w:w="120" w:type="dxa"/>
              <w:bottom w:w="80" w:type="dxa"/>
              <w:end w:w="120" w:type="dxa"/>
            </w:tcMar>
            <w:vAlign w:val="center"/>
            <w:shd w:fill="F4F6F8"/>
          </w:tcPr>
          <w:p>
            <w:pPr>
              <w:spacing w:after="0"/>
            </w:pPr>
            <w:r>
              <w:rPr>
                <w:rFonts w:ascii="Calibri" w:hAnsi="Calibri"/>
                <w:b/>
                <w:color w:val="17384D"/>
                <w:sz w:val="14"/>
              </w:rPr>
              <w:t>Feature</w:t>
            </w:r>
          </w:p>
        </w:tc>
        <w:tc>
          <w:tcPr>
            <w:tcW w:type="dxa" w:w="2520"/>
            <w:tcMar>
              <w:top w:w="80" w:type="dxa"/>
              <w:start w:w="120" w:type="dxa"/>
              <w:bottom w:w="80" w:type="dxa"/>
              <w:end w:w="120" w:type="dxa"/>
            </w:tcMar>
            <w:vAlign w:val="center"/>
            <w:shd w:fill="F4F6F8"/>
          </w:tcPr>
          <w:p>
            <w:pPr>
              <w:spacing w:after="0"/>
            </w:pPr>
            <w:r>
              <w:rPr>
                <w:rFonts w:ascii="Calibri" w:hAnsi="Calibri"/>
                <w:b/>
                <w:color w:val="17384D"/>
                <w:sz w:val="14"/>
              </w:rPr>
              <w:t>Working hydrate-sand envelope</w:t>
            </w:r>
          </w:p>
        </w:tc>
        <w:tc>
          <w:tcPr>
            <w:tcW w:type="dxa" w:w="2304"/>
            <w:tcMar>
              <w:top w:w="80" w:type="dxa"/>
              <w:start w:w="120" w:type="dxa"/>
              <w:bottom w:w="80" w:type="dxa"/>
              <w:end w:w="120" w:type="dxa"/>
            </w:tcMar>
            <w:vAlign w:val="center"/>
            <w:shd w:fill="F4F6F8"/>
          </w:tcPr>
          <w:p>
            <w:pPr>
              <w:spacing w:after="0"/>
            </w:pPr>
            <w:r>
              <w:rPr>
                <w:rFonts w:ascii="Calibri" w:hAnsi="Calibri"/>
                <w:b/>
                <w:color w:val="17384D"/>
                <w:sz w:val="14"/>
              </w:rPr>
              <w:t>Use</w:t>
            </w:r>
          </w:p>
        </w:tc>
        <w:tc>
          <w:tcPr>
            <w:tcW w:type="dxa" w:w="3240"/>
            <w:tcMar>
              <w:top w:w="80" w:type="dxa"/>
              <w:start w:w="120" w:type="dxa"/>
              <w:bottom w:w="80" w:type="dxa"/>
              <w:end w:w="120" w:type="dxa"/>
            </w:tcMar>
            <w:vAlign w:val="center"/>
            <w:shd w:fill="F4F6F8"/>
          </w:tcPr>
          <w:p>
            <w:pPr>
              <w:spacing w:after="0"/>
            </w:pPr>
            <w:r>
              <w:rPr>
                <w:rFonts w:ascii="Calibri" w:hAnsi="Calibri"/>
                <w:b/>
                <w:color w:val="17384D"/>
                <w:sz w:val="14"/>
              </w:rPr>
              <w:t>Major ambiguity</w:t>
            </w:r>
          </w:p>
        </w:tc>
      </w:tr>
      <w:tr>
        <w:tc>
          <w:tcPr>
            <w:tcW w:type="dxa" w:w="1440"/>
          </w:tcPr>
          <w:p>
            <w:pPr>
              <w:spacing w:after="0" w:line="259" w:lineRule="auto"/>
            </w:pPr>
            <w:r>
              <w:rPr>
                <w:rFonts w:ascii="Calibri" w:hAnsi="Calibri"/>
                <w:color w:val="1F2933"/>
                <w:sz w:val="13"/>
              </w:rPr>
              <w:t>Rt</w:t>
            </w:r>
          </w:p>
        </w:tc>
        <w:tc>
          <w:tcPr>
            <w:tcW w:type="dxa" w:w="2520"/>
          </w:tcPr>
          <w:p>
            <w:pPr>
              <w:spacing w:after="0" w:line="259" w:lineRule="auto"/>
            </w:pPr>
            <w:r>
              <w:rPr>
                <w:rFonts w:ascii="Calibri" w:hAnsi="Calibri"/>
                <w:color w:val="1F2933"/>
                <w:sz w:val="13"/>
              </w:rPr>
              <w:t>10-100+ ohm-m</w:t>
            </w:r>
          </w:p>
        </w:tc>
        <w:tc>
          <w:tcPr>
            <w:tcW w:type="dxa" w:w="2304"/>
          </w:tcPr>
          <w:p>
            <w:pPr>
              <w:spacing w:after="0" w:line="259" w:lineRule="auto"/>
            </w:pPr>
            <w:r>
              <w:rPr>
                <w:rFonts w:ascii="Calibri" w:hAnsi="Calibri"/>
                <w:color w:val="1F2933"/>
                <w:sz w:val="13"/>
              </w:rPr>
              <w:t>Electrical hydrate response.</w:t>
            </w:r>
          </w:p>
        </w:tc>
        <w:tc>
          <w:tcPr>
            <w:tcW w:type="dxa" w:w="3240"/>
          </w:tcPr>
          <w:p>
            <w:pPr>
              <w:spacing w:after="0" w:line="259" w:lineRule="auto"/>
            </w:pPr>
            <w:r>
              <w:rPr>
                <w:rFonts w:ascii="Calibri" w:hAnsi="Calibri"/>
                <w:color w:val="1F2933"/>
                <w:sz w:val="13"/>
              </w:rPr>
              <w:t>Gas, ice, tight rock, cement, salinity, invasion, bad hole.</w:t>
            </w:r>
          </w:p>
        </w:tc>
      </w:tr>
      <w:tr>
        <w:tc>
          <w:tcPr>
            <w:tcW w:type="dxa" w:w="1440"/>
          </w:tcPr>
          <w:p>
            <w:pPr>
              <w:spacing w:after="0" w:line="259" w:lineRule="auto"/>
            </w:pPr>
            <w:r>
              <w:rPr>
                <w:rFonts w:ascii="Calibri" w:hAnsi="Calibri"/>
                <w:color w:val="1F2933"/>
                <w:sz w:val="13"/>
              </w:rPr>
              <w:t>Vp</w:t>
            </w:r>
          </w:p>
        </w:tc>
        <w:tc>
          <w:tcPr>
            <w:tcW w:type="dxa" w:w="2520"/>
          </w:tcPr>
          <w:p>
            <w:pPr>
              <w:spacing w:after="0" w:line="259" w:lineRule="auto"/>
            </w:pPr>
            <w:r>
              <w:rPr>
                <w:rFonts w:ascii="Calibri" w:hAnsi="Calibri"/>
                <w:color w:val="1F2933"/>
                <w:sz w:val="13"/>
              </w:rPr>
              <w:t>2.5-4.0 km/s</w:t>
            </w:r>
          </w:p>
        </w:tc>
        <w:tc>
          <w:tcPr>
            <w:tcW w:type="dxa" w:w="2304"/>
          </w:tcPr>
          <w:p>
            <w:pPr>
              <w:spacing w:after="0" w:line="259" w:lineRule="auto"/>
            </w:pPr>
            <w:r>
              <w:rPr>
                <w:rFonts w:ascii="Calibri" w:hAnsi="Calibri"/>
                <w:color w:val="1F2933"/>
                <w:sz w:val="13"/>
              </w:rPr>
              <w:t>Compressional stiffness.</w:t>
            </w:r>
          </w:p>
        </w:tc>
        <w:tc>
          <w:tcPr>
            <w:tcW w:type="dxa" w:w="3240"/>
          </w:tcPr>
          <w:p>
            <w:pPr>
              <w:spacing w:after="0" w:line="259" w:lineRule="auto"/>
            </w:pPr>
            <w:r>
              <w:rPr>
                <w:rFonts w:ascii="Calibri" w:hAnsi="Calibri"/>
                <w:color w:val="1F2933"/>
                <w:sz w:val="13"/>
              </w:rPr>
              <w:t>Ice, cement, carbonate, compaction, stress.</w:t>
            </w:r>
          </w:p>
        </w:tc>
      </w:tr>
      <w:tr>
        <w:tc>
          <w:tcPr>
            <w:tcW w:type="dxa" w:w="1440"/>
          </w:tcPr>
          <w:p>
            <w:pPr>
              <w:spacing w:after="0" w:line="259" w:lineRule="auto"/>
            </w:pPr>
            <w:r>
              <w:rPr>
                <w:rFonts w:ascii="Calibri" w:hAnsi="Calibri"/>
                <w:color w:val="1F2933"/>
                <w:sz w:val="13"/>
              </w:rPr>
              <w:t>Vs</w:t>
            </w:r>
          </w:p>
        </w:tc>
        <w:tc>
          <w:tcPr>
            <w:tcW w:type="dxa" w:w="2520"/>
          </w:tcPr>
          <w:p>
            <w:pPr>
              <w:spacing w:after="0" w:line="259" w:lineRule="auto"/>
            </w:pPr>
            <w:r>
              <w:rPr>
                <w:rFonts w:ascii="Calibri" w:hAnsi="Calibri"/>
                <w:color w:val="1F2933"/>
                <w:sz w:val="13"/>
              </w:rPr>
              <w:t>1.0-2.5 km/s</w:t>
            </w:r>
          </w:p>
        </w:tc>
        <w:tc>
          <w:tcPr>
            <w:tcW w:type="dxa" w:w="2304"/>
          </w:tcPr>
          <w:p>
            <w:pPr>
              <w:spacing w:after="0" w:line="259" w:lineRule="auto"/>
            </w:pPr>
            <w:r>
              <w:rPr>
                <w:rFonts w:ascii="Calibri" w:hAnsi="Calibri"/>
                <w:color w:val="1F2933"/>
                <w:sz w:val="13"/>
              </w:rPr>
              <w:t>Rigidity and gas/hydrate separation.</w:t>
            </w:r>
          </w:p>
        </w:tc>
        <w:tc>
          <w:tcPr>
            <w:tcW w:type="dxa" w:w="3240"/>
          </w:tcPr>
          <w:p>
            <w:pPr>
              <w:spacing w:after="0" w:line="259" w:lineRule="auto"/>
            </w:pPr>
            <w:r>
              <w:rPr>
                <w:rFonts w:ascii="Calibri" w:hAnsi="Calibri"/>
                <w:color w:val="1F2933"/>
                <w:sz w:val="13"/>
              </w:rPr>
              <w:t>Missing shear sonic, ice, stress, lithology.</w:t>
            </w:r>
          </w:p>
        </w:tc>
      </w:tr>
      <w:tr>
        <w:tc>
          <w:tcPr>
            <w:tcW w:type="dxa" w:w="1440"/>
          </w:tcPr>
          <w:p>
            <w:pPr>
              <w:spacing w:after="0" w:line="259" w:lineRule="auto"/>
            </w:pPr>
            <w:r>
              <w:rPr>
                <w:rFonts w:ascii="Calibri" w:hAnsi="Calibri"/>
                <w:color w:val="1F2933"/>
                <w:sz w:val="13"/>
              </w:rPr>
              <w:t>Vp/Vs</w:t>
            </w:r>
          </w:p>
        </w:tc>
        <w:tc>
          <w:tcPr>
            <w:tcW w:type="dxa" w:w="2520"/>
          </w:tcPr>
          <w:p>
            <w:pPr>
              <w:spacing w:after="0" w:line="259" w:lineRule="auto"/>
            </w:pPr>
            <w:r>
              <w:rPr>
                <w:rFonts w:ascii="Calibri" w:hAnsi="Calibri"/>
                <w:color w:val="1F2933"/>
                <w:sz w:val="13"/>
              </w:rPr>
              <w:t>1.6-2.4 broad screening; tighter crossplot hypotheses pending calibration</w:t>
            </w:r>
          </w:p>
        </w:tc>
        <w:tc>
          <w:tcPr>
            <w:tcW w:type="dxa" w:w="2304"/>
          </w:tcPr>
          <w:p>
            <w:pPr>
              <w:spacing w:after="0" w:line="259" w:lineRule="auto"/>
            </w:pPr>
            <w:r>
              <w:rPr>
                <w:rFonts w:ascii="Calibri" w:hAnsi="Calibri"/>
                <w:color w:val="1F2933"/>
                <w:sz w:val="13"/>
              </w:rPr>
              <w:t>Elastic crossplot feature.</w:t>
            </w:r>
          </w:p>
        </w:tc>
        <w:tc>
          <w:tcPr>
            <w:tcW w:type="dxa" w:w="3240"/>
          </w:tcPr>
          <w:p>
            <w:pPr>
              <w:spacing w:after="0" w:line="259" w:lineRule="auto"/>
            </w:pPr>
            <w:r>
              <w:rPr>
                <w:rFonts w:ascii="Calibri" w:hAnsi="Calibri"/>
                <w:color w:val="1F2933"/>
                <w:sz w:val="13"/>
              </w:rPr>
              <w:t>Strong overlap; not standalone.</w:t>
            </w:r>
          </w:p>
        </w:tc>
      </w:tr>
      <w:tr>
        <w:tc>
          <w:tcPr>
            <w:tcW w:type="dxa" w:w="1440"/>
          </w:tcPr>
          <w:p>
            <w:pPr>
              <w:spacing w:after="0" w:line="259" w:lineRule="auto"/>
            </w:pPr>
            <w:r>
              <w:rPr>
                <w:rFonts w:ascii="Calibri" w:hAnsi="Calibri"/>
                <w:color w:val="1F2933"/>
                <w:sz w:val="13"/>
              </w:rPr>
              <w:t>mu-rho</w:t>
            </w:r>
          </w:p>
        </w:tc>
        <w:tc>
          <w:tcPr>
            <w:tcW w:type="dxa" w:w="2520"/>
          </w:tcPr>
          <w:p>
            <w:pPr>
              <w:spacing w:after="0" w:line="259" w:lineRule="auto"/>
            </w:pPr>
            <w:r>
              <w:rPr>
                <w:rFonts w:ascii="Calibri" w:hAnsi="Calibri"/>
                <w:color w:val="1F2933"/>
                <w:sz w:val="13"/>
              </w:rPr>
              <w:t>10-55 GPa*g/cc</w:t>
            </w:r>
          </w:p>
        </w:tc>
        <w:tc>
          <w:tcPr>
            <w:tcW w:type="dxa" w:w="2304"/>
          </w:tcPr>
          <w:p>
            <w:pPr>
              <w:spacing w:after="0" w:line="259" w:lineRule="auto"/>
            </w:pPr>
            <w:r>
              <w:rPr>
                <w:rFonts w:ascii="Calibri" w:hAnsi="Calibri"/>
                <w:color w:val="1F2933"/>
                <w:sz w:val="13"/>
              </w:rPr>
              <w:t>Rigidity-sensitive discriminator.</w:t>
            </w:r>
          </w:p>
        </w:tc>
        <w:tc>
          <w:tcPr>
            <w:tcW w:type="dxa" w:w="3240"/>
          </w:tcPr>
          <w:p>
            <w:pPr>
              <w:spacing w:after="0" w:line="259" w:lineRule="auto"/>
            </w:pPr>
            <w:r>
              <w:rPr>
                <w:rFonts w:ascii="Calibri" w:hAnsi="Calibri"/>
                <w:color w:val="1F2933"/>
                <w:sz w:val="13"/>
              </w:rPr>
              <w:t>Inherited density/Vs errors and lithology effects.</w:t>
            </w:r>
          </w:p>
        </w:tc>
      </w:tr>
      <w:tr>
        <w:tc>
          <w:tcPr>
            <w:tcW w:type="dxa" w:w="1440"/>
          </w:tcPr>
          <w:p>
            <w:pPr>
              <w:spacing w:after="0" w:line="259" w:lineRule="auto"/>
            </w:pPr>
            <w:r>
              <w:rPr>
                <w:rFonts w:ascii="Calibri" w:hAnsi="Calibri"/>
                <w:color w:val="1F2933"/>
                <w:sz w:val="13"/>
              </w:rPr>
              <w:t>lambda-rho</w:t>
            </w:r>
          </w:p>
        </w:tc>
        <w:tc>
          <w:tcPr>
            <w:tcW w:type="dxa" w:w="2520"/>
          </w:tcPr>
          <w:p>
            <w:pPr>
              <w:spacing w:after="0" w:line="259" w:lineRule="auto"/>
            </w:pPr>
            <w:r>
              <w:rPr>
                <w:rFonts w:ascii="Calibri" w:hAnsi="Calibri"/>
                <w:color w:val="1F2933"/>
                <w:sz w:val="13"/>
              </w:rPr>
              <w:t>12-55 GPa*g/cc</w:t>
            </w:r>
          </w:p>
        </w:tc>
        <w:tc>
          <w:tcPr>
            <w:tcW w:type="dxa" w:w="2304"/>
          </w:tcPr>
          <w:p>
            <w:pPr>
              <w:spacing w:after="0" w:line="259" w:lineRule="auto"/>
            </w:pPr>
            <w:r>
              <w:rPr>
                <w:rFonts w:ascii="Calibri" w:hAnsi="Calibri"/>
                <w:color w:val="1F2933"/>
                <w:sz w:val="13"/>
              </w:rPr>
              <w:t>Incompressibility-sensitive crossplot term.</w:t>
            </w:r>
          </w:p>
        </w:tc>
        <w:tc>
          <w:tcPr>
            <w:tcW w:type="dxa" w:w="3240"/>
          </w:tcPr>
          <w:p>
            <w:pPr>
              <w:spacing w:after="0" w:line="259" w:lineRule="auto"/>
            </w:pPr>
            <w:r>
              <w:rPr>
                <w:rFonts w:ascii="Calibri" w:hAnsi="Calibri"/>
                <w:color w:val="1F2933"/>
                <w:sz w:val="13"/>
              </w:rPr>
              <w:t>Gas/lithology overlap and unit sensitivity.</w:t>
            </w:r>
          </w:p>
        </w:tc>
      </w:tr>
      <w:tr>
        <w:tc>
          <w:tcPr>
            <w:tcW w:type="dxa" w:w="1440"/>
          </w:tcPr>
          <w:p>
            <w:pPr>
              <w:spacing w:after="0" w:line="259" w:lineRule="auto"/>
            </w:pPr>
            <w:r>
              <w:rPr>
                <w:rFonts w:ascii="Calibri" w:hAnsi="Calibri"/>
                <w:color w:val="1F2933"/>
                <w:sz w:val="13"/>
              </w:rPr>
              <w:t>Porosity</w:t>
            </w:r>
          </w:p>
        </w:tc>
        <w:tc>
          <w:tcPr>
            <w:tcW w:type="dxa" w:w="2520"/>
          </w:tcPr>
          <w:p>
            <w:pPr>
              <w:spacing w:after="0" w:line="259" w:lineRule="auto"/>
            </w:pPr>
            <w:r>
              <w:rPr>
                <w:rFonts w:ascii="Calibri" w:hAnsi="Calibri"/>
                <w:color w:val="1F2933"/>
                <w:sz w:val="13"/>
              </w:rPr>
              <w:t>0.20-0.35</w:t>
            </w:r>
          </w:p>
        </w:tc>
        <w:tc>
          <w:tcPr>
            <w:tcW w:type="dxa" w:w="2304"/>
          </w:tcPr>
          <w:p>
            <w:pPr>
              <w:spacing w:after="0" w:line="259" w:lineRule="auto"/>
            </w:pPr>
            <w:r>
              <w:rPr>
                <w:rFonts w:ascii="Calibri" w:hAnsi="Calibri"/>
                <w:color w:val="1F2933"/>
                <w:sz w:val="13"/>
              </w:rPr>
              <w:t>Reservoir capacity and saturation normalization.</w:t>
            </w:r>
          </w:p>
        </w:tc>
        <w:tc>
          <w:tcPr>
            <w:tcW w:type="dxa" w:w="3240"/>
          </w:tcPr>
          <w:p>
            <w:pPr>
              <w:spacing w:after="0" w:line="259" w:lineRule="auto"/>
            </w:pPr>
            <w:r>
              <w:rPr>
                <w:rFonts w:ascii="Calibri" w:hAnsi="Calibri"/>
                <w:color w:val="1F2933"/>
                <w:sz w:val="13"/>
              </w:rPr>
              <w:t>Shale, compaction, density/NMR provenance.</w:t>
            </w:r>
          </w:p>
        </w:tc>
      </w:tr>
    </w:tbl>
    <w:p>
      <w:pPr>
        <w:spacing w:after="80"/>
      </w:pPr>
    </w:p>
    <w:p>
      <w:pPr>
        <w:pStyle w:val="Heading1"/>
      </w:pPr>
      <w:r>
        <w:t>7. Target Registry and Leakage Barrier</w:t>
      </w:r>
    </w:p>
    <w:p>
      <w:pPr>
        <w:spacing w:after="140" w:line="293" w:lineRule="auto"/>
      </w:pPr>
      <w:r>
        <w:rPr>
          <w:rFonts w:ascii="Calibri" w:hAnsi="Calibri"/>
          <w:i w:val="0"/>
          <w:color w:val="1F2933"/>
          <w:sz w:val="20"/>
        </w:rPr>
        <w:t>The target registry is the line between a defensible model and a circular one. Every candidate column must be assigned a role before training: measured input, derived feature, QC/context field, alignment field, target, calibration reference, or output. If a field might be target-derived, it should be excluded from predictors until provenance is confirmed.</w:t>
      </w:r>
    </w:p>
    <w:p>
      <w:pPr>
        <w:spacing w:after="140" w:line="293" w:lineRule="auto"/>
      </w:pPr>
      <w:r>
        <w:rPr>
          <w:rFonts w:ascii="Calibri" w:hAnsi="Calibri"/>
          <w:i w:val="0"/>
          <w:color w:val="1F2933"/>
          <w:sz w:val="20"/>
        </w:rPr>
        <w:t>S_h, Sgh, NMR_SAT, phase labels, interpreted saturation, known/prediction flags, final sweet-spot ranks, and reviewed occurrence calls are labels or outputs. They can supervise, calibrate, or score the model, but they cannot enter X_allowed. Measured NMR porosity may be an input if it is a measured curve; NMR-derived saturation remains target or calibration evidence.</w:t>
      </w:r>
    </w:p>
    <w:p>
      <w:pPr>
        <w:pStyle w:val="Heading2"/>
      </w:pPr>
      <w:r>
        <w:t>Leakage-safe runtime flow</w:t>
      </w:r>
    </w:p>
    <w:tbl>
      <w:tblPr>
        <w:tblW w:type="dxa" w:w="9360"/>
        <w:jc w:val="left"/>
        <w:tblLayout w:type="fixed"/>
        <w:tblLook w:firstColumn="1" w:firstRow="1" w:lastColumn="0" w:lastRow="0" w:noHBand="0" w:noVBand="1" w:val="04A0"/>
        <w:tblInd w:w="120" w:type="dxa"/>
        <w:tblBorders>
          <w:top w:val="single" w:sz="6" w:space="0" w:color="A9C6D8"/>
          <w:left w:val="single" w:sz="6" w:space="0" w:color="A9C6D8"/>
          <w:bottom w:val="single" w:sz="6" w:space="0" w:color="A9C6D8"/>
          <w:right w:val="single" w:sz="6" w:space="0" w:color="A9C6D8"/>
          <w:insideH w:val="single" w:sz="6" w:space="0" w:color="A9C6D8"/>
          <w:insideV w:val="single" w:sz="6" w:space="0" w:color="A9C6D8"/>
        </w:tblBorders>
      </w:tblPr>
      <w:tblGrid>
        <w:gridCol w:w="1170"/>
        <w:gridCol w:w="1170"/>
        <w:gridCol w:w="1170"/>
        <w:gridCol w:w="1170"/>
        <w:gridCol w:w="1170"/>
        <w:gridCol w:w="1170"/>
        <w:gridCol w:w="1170"/>
        <w:gridCol w:w="1170"/>
      </w:tblGrid>
      <w:tr>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Raw headers</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Units and aliases</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QC and depth alignment</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X_allowed features</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Y target registry</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Complete-well split</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Models</w:t>
            </w:r>
          </w:p>
        </w:tc>
        <w:tc>
          <w:tcPr>
            <w:tcW w:type="dxa" w:w="1170"/>
            <w:tcMar>
              <w:top w:w="80" w:type="dxa"/>
              <w:start w:w="120" w:type="dxa"/>
              <w:bottom w:w="80" w:type="dxa"/>
              <w:end w:w="120" w:type="dxa"/>
            </w:tcMar>
            <w:vAlign w:val="center"/>
            <w:shd w:fill="F7F1E8"/>
          </w:tcPr>
          <w:p>
            <w:pPr>
              <w:spacing w:after="0"/>
              <w:jc w:val="center"/>
            </w:pPr>
            <w:r>
              <w:rPr>
                <w:rFonts w:ascii="Calibri" w:hAnsi="Calibri"/>
                <w:b/>
                <w:color w:val="17384D"/>
                <w:sz w:val="15"/>
              </w:rPr>
              <w:t>Review outputs</w:t>
            </w:r>
          </w:p>
        </w:tc>
      </w:tr>
    </w:tbl>
    <w:p>
      <w:pPr>
        <w:spacing w:after="80"/>
      </w:pPr>
    </w:p>
    <w:p>
      <w:pPr>
        <w:pStyle w:val="Heading1"/>
      </w:pPr>
      <w:r>
        <w:t>8. Runtime Architecture and Model Ladder</w:t>
      </w:r>
    </w:p>
    <w:p>
      <w:pPr>
        <w:spacing w:after="140" w:line="293" w:lineRule="auto"/>
      </w:pPr>
      <w:r>
        <w:rPr>
          <w:rFonts w:ascii="Calibri" w:hAnsi="Calibri"/>
          <w:i w:val="0"/>
          <w:color w:val="1F2933"/>
          <w:sz w:val="20"/>
        </w:rPr>
        <w:t>The public repository should contain only the code skeleton, schemas, templates, synthetic records, source-backed documentation, and public-safe summaries. The approved environment should contain the real LAS/CSV/core/NMR rows, populated local configs, fitted models, row-level predictions, and reviewed model outputs. That separation lets the website and Word document explain the workflow without leaking sensitive data.</w:t>
      </w:r>
    </w:p>
    <w:tbl>
      <w:tblPr>
        <w:tblW w:type="dxa" w:w="9504"/>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088"/>
        <w:gridCol w:w="4320"/>
        <w:gridCol w:w="3096"/>
      </w:tblGrid>
      <w:tr>
        <w:tc>
          <w:tcPr>
            <w:tcW w:type="dxa" w:w="2088"/>
            <w:tcMar>
              <w:top w:w="80" w:type="dxa"/>
              <w:start w:w="120" w:type="dxa"/>
              <w:bottom w:w="80" w:type="dxa"/>
              <w:end w:w="120" w:type="dxa"/>
            </w:tcMar>
            <w:vAlign w:val="center"/>
            <w:shd w:fill="F4F6F8"/>
          </w:tcPr>
          <w:p>
            <w:pPr>
              <w:spacing w:after="0"/>
            </w:pPr>
            <w:r>
              <w:rPr>
                <w:rFonts w:ascii="Calibri" w:hAnsi="Calibri"/>
                <w:b/>
                <w:color w:val="17384D"/>
                <w:sz w:val="14"/>
              </w:rPr>
              <w:t>Model stage</w:t>
            </w:r>
          </w:p>
        </w:tc>
        <w:tc>
          <w:tcPr>
            <w:tcW w:type="dxa" w:w="4320"/>
            <w:tcMar>
              <w:top w:w="80" w:type="dxa"/>
              <w:start w:w="120" w:type="dxa"/>
              <w:bottom w:w="80" w:type="dxa"/>
              <w:end w:w="120" w:type="dxa"/>
            </w:tcMar>
            <w:vAlign w:val="center"/>
            <w:shd w:fill="F4F6F8"/>
          </w:tcPr>
          <w:p>
            <w:pPr>
              <w:spacing w:after="0"/>
            </w:pPr>
            <w:r>
              <w:rPr>
                <w:rFonts w:ascii="Calibri" w:hAnsi="Calibri"/>
                <w:b/>
                <w:color w:val="17384D"/>
                <w:sz w:val="14"/>
              </w:rPr>
              <w:t>Why it belongs</w:t>
            </w:r>
          </w:p>
        </w:tc>
        <w:tc>
          <w:tcPr>
            <w:tcW w:type="dxa" w:w="3096"/>
            <w:tcMar>
              <w:top w:w="80" w:type="dxa"/>
              <w:start w:w="120" w:type="dxa"/>
              <w:bottom w:w="80" w:type="dxa"/>
              <w:end w:w="120" w:type="dxa"/>
            </w:tcMar>
            <w:vAlign w:val="center"/>
            <w:shd w:fill="F4F6F8"/>
          </w:tcPr>
          <w:p>
            <w:pPr>
              <w:spacing w:after="0"/>
            </w:pPr>
            <w:r>
              <w:rPr>
                <w:rFonts w:ascii="Calibri" w:hAnsi="Calibri"/>
                <w:b/>
                <w:color w:val="17384D"/>
                <w:sz w:val="14"/>
              </w:rPr>
              <w:t>Current use</w:t>
            </w:r>
          </w:p>
        </w:tc>
      </w:tr>
      <w:tr>
        <w:tc>
          <w:tcPr>
            <w:tcW w:type="dxa" w:w="2088"/>
          </w:tcPr>
          <w:p>
            <w:pPr>
              <w:spacing w:after="0" w:line="259" w:lineRule="auto"/>
            </w:pPr>
            <w:r>
              <w:rPr>
                <w:rFonts w:ascii="Calibri" w:hAnsi="Calibri"/>
                <w:color w:val="1F2933"/>
                <w:sz w:val="14"/>
              </w:rPr>
              <w:t>Physics or rule baseline</w:t>
            </w:r>
          </w:p>
        </w:tc>
        <w:tc>
          <w:tcPr>
            <w:tcW w:type="dxa" w:w="4320"/>
          </w:tcPr>
          <w:p>
            <w:pPr>
              <w:spacing w:after="0" w:line="259" w:lineRule="auto"/>
            </w:pPr>
            <w:r>
              <w:rPr>
                <w:rFonts w:ascii="Calibri" w:hAnsi="Calibri"/>
                <w:color w:val="1F2933"/>
                <w:sz w:val="14"/>
              </w:rPr>
              <w:t>Transparent comparison to petrophysical expectations.</w:t>
            </w:r>
          </w:p>
        </w:tc>
        <w:tc>
          <w:tcPr>
            <w:tcW w:type="dxa" w:w="3096"/>
          </w:tcPr>
          <w:p>
            <w:pPr>
              <w:spacing w:after="0" w:line="259" w:lineRule="auto"/>
            </w:pPr>
            <w:r>
              <w:rPr>
                <w:rFonts w:ascii="Calibri" w:hAnsi="Calibri"/>
                <w:color w:val="1F2933"/>
                <w:sz w:val="14"/>
              </w:rPr>
              <w:t>Required sanity check.</w:t>
            </w:r>
          </w:p>
        </w:tc>
      </w:tr>
      <w:tr>
        <w:tc>
          <w:tcPr>
            <w:tcW w:type="dxa" w:w="2088"/>
          </w:tcPr>
          <w:p>
            <w:pPr>
              <w:spacing w:after="0" w:line="259" w:lineRule="auto"/>
            </w:pPr>
            <w:r>
              <w:rPr>
                <w:rFonts w:ascii="Calibri" w:hAnsi="Calibri"/>
                <w:color w:val="1F2933"/>
                <w:sz w:val="14"/>
              </w:rPr>
              <w:t>Linear/logistic/SGD baseline</w:t>
            </w:r>
          </w:p>
        </w:tc>
        <w:tc>
          <w:tcPr>
            <w:tcW w:type="dxa" w:w="4320"/>
          </w:tcPr>
          <w:p>
            <w:pPr>
              <w:spacing w:after="0" w:line="259" w:lineRule="auto"/>
            </w:pPr>
            <w:r>
              <w:rPr>
                <w:rFonts w:ascii="Calibri" w:hAnsi="Calibri"/>
                <w:color w:val="1F2933"/>
                <w:sz w:val="14"/>
              </w:rPr>
              <w:t>Simple supervised benchmark that exposes leakage and scaling mistakes.</w:t>
            </w:r>
          </w:p>
        </w:tc>
        <w:tc>
          <w:tcPr>
            <w:tcW w:type="dxa" w:w="3096"/>
          </w:tcPr>
          <w:p>
            <w:pPr>
              <w:spacing w:after="0" w:line="259" w:lineRule="auto"/>
            </w:pPr>
            <w:r>
              <w:rPr>
                <w:rFonts w:ascii="Calibri" w:hAnsi="Calibri"/>
                <w:color w:val="1F2933"/>
                <w:sz w:val="14"/>
              </w:rPr>
              <w:t>First classifier/regressor once labels are confirmed.</w:t>
            </w:r>
          </w:p>
        </w:tc>
      </w:tr>
      <w:tr>
        <w:tc>
          <w:tcPr>
            <w:tcW w:type="dxa" w:w="2088"/>
          </w:tcPr>
          <w:p>
            <w:pPr>
              <w:spacing w:after="0" w:line="259" w:lineRule="auto"/>
            </w:pPr>
            <w:r>
              <w:rPr>
                <w:rFonts w:ascii="Calibri" w:hAnsi="Calibri"/>
                <w:color w:val="1F2933"/>
                <w:sz w:val="14"/>
              </w:rPr>
              <w:t>Random forest or gradient boosting</w:t>
            </w:r>
          </w:p>
        </w:tc>
        <w:tc>
          <w:tcPr>
            <w:tcW w:type="dxa" w:w="4320"/>
          </w:tcPr>
          <w:p>
            <w:pPr>
              <w:spacing w:after="0" w:line="259" w:lineRule="auto"/>
            </w:pPr>
            <w:r>
              <w:rPr>
                <w:rFonts w:ascii="Calibri" w:hAnsi="Calibri"/>
                <w:color w:val="1F2933"/>
                <w:sz w:val="14"/>
              </w:rPr>
              <w:t>Strong nonlinear tabular model for mixed well-log features.</w:t>
            </w:r>
          </w:p>
        </w:tc>
        <w:tc>
          <w:tcPr>
            <w:tcW w:type="dxa" w:w="3096"/>
          </w:tcPr>
          <w:p>
            <w:pPr>
              <w:spacing w:after="0" w:line="259" w:lineRule="auto"/>
            </w:pPr>
            <w:r>
              <w:rPr>
                <w:rFonts w:ascii="Calibri" w:hAnsi="Calibri"/>
                <w:color w:val="1F2933"/>
                <w:sz w:val="14"/>
              </w:rPr>
              <w:t>Main tabular candidate after grouped splits.</w:t>
            </w:r>
          </w:p>
        </w:tc>
      </w:tr>
      <w:tr>
        <w:tc>
          <w:tcPr>
            <w:tcW w:type="dxa" w:w="2088"/>
          </w:tcPr>
          <w:p>
            <w:pPr>
              <w:spacing w:after="0" w:line="259" w:lineRule="auto"/>
            </w:pPr>
            <w:r>
              <w:rPr>
                <w:rFonts w:ascii="Calibri" w:hAnsi="Calibri"/>
                <w:color w:val="1F2933"/>
                <w:sz w:val="14"/>
              </w:rPr>
              <w:t>ANN/MLP</w:t>
            </w:r>
          </w:p>
        </w:tc>
        <w:tc>
          <w:tcPr>
            <w:tcW w:type="dxa" w:w="4320"/>
          </w:tcPr>
          <w:p>
            <w:pPr>
              <w:spacing w:after="0" w:line="259" w:lineRule="auto"/>
            </w:pPr>
            <w:r>
              <w:rPr>
                <w:rFonts w:ascii="Calibri" w:hAnsi="Calibri"/>
                <w:color w:val="1F2933"/>
                <w:sz w:val="14"/>
              </w:rPr>
              <w:t>Matches the direct permafrost hydrate ML analogue in Chong et al. (2022).</w:t>
            </w:r>
          </w:p>
        </w:tc>
        <w:tc>
          <w:tcPr>
            <w:tcW w:type="dxa" w:w="3096"/>
          </w:tcPr>
          <w:p>
            <w:pPr>
              <w:spacing w:after="0" w:line="259" w:lineRule="auto"/>
            </w:pPr>
            <w:r>
              <w:rPr>
                <w:rFonts w:ascii="Calibri" w:hAnsi="Calibri"/>
                <w:color w:val="1F2933"/>
                <w:sz w:val="14"/>
              </w:rPr>
              <w:t>Advanced candidate after feature and validation controls work.</w:t>
            </w:r>
          </w:p>
        </w:tc>
      </w:tr>
      <w:tr>
        <w:tc>
          <w:tcPr>
            <w:tcW w:type="dxa" w:w="2088"/>
          </w:tcPr>
          <w:p>
            <w:pPr>
              <w:spacing w:after="0" w:line="259" w:lineRule="auto"/>
            </w:pPr>
            <w:r>
              <w:rPr>
                <w:rFonts w:ascii="Calibri" w:hAnsi="Calibri"/>
                <w:color w:val="1F2933"/>
                <w:sz w:val="14"/>
              </w:rPr>
              <w:t>LSTM or sequence model</w:t>
            </w:r>
          </w:p>
        </w:tc>
        <w:tc>
          <w:tcPr>
            <w:tcW w:type="dxa" w:w="4320"/>
          </w:tcPr>
          <w:p>
            <w:pPr>
              <w:spacing w:after="0" w:line="259" w:lineRule="auto"/>
            </w:pPr>
            <w:r>
              <w:rPr>
                <w:rFonts w:ascii="Calibri" w:hAnsi="Calibri"/>
                <w:color w:val="1F2933"/>
                <w:sz w:val="14"/>
              </w:rPr>
              <w:t>Can use depth-sequence context if continuous labels support it.</w:t>
            </w:r>
          </w:p>
        </w:tc>
        <w:tc>
          <w:tcPr>
            <w:tcW w:type="dxa" w:w="3096"/>
          </w:tcPr>
          <w:p>
            <w:pPr>
              <w:spacing w:after="0" w:line="259" w:lineRule="auto"/>
            </w:pPr>
            <w:r>
              <w:rPr>
                <w:rFonts w:ascii="Calibri" w:hAnsi="Calibri"/>
                <w:color w:val="1F2933"/>
                <w:sz w:val="14"/>
              </w:rPr>
              <w:t>Optional future path, not first deliverable.</w:t>
            </w:r>
          </w:p>
        </w:tc>
      </w:tr>
      <w:tr>
        <w:tc>
          <w:tcPr>
            <w:tcW w:type="dxa" w:w="2088"/>
          </w:tcPr>
          <w:p>
            <w:pPr>
              <w:spacing w:after="0" w:line="259" w:lineRule="auto"/>
            </w:pPr>
            <w:r>
              <w:rPr>
                <w:rFonts w:ascii="Calibri" w:hAnsi="Calibri"/>
                <w:color w:val="1F2933"/>
                <w:sz w:val="14"/>
              </w:rPr>
              <w:t>Missing-log adapter</w:t>
            </w:r>
          </w:p>
        </w:tc>
        <w:tc>
          <w:tcPr>
            <w:tcW w:type="dxa" w:w="4320"/>
          </w:tcPr>
          <w:p>
            <w:pPr>
              <w:spacing w:after="0" w:line="259" w:lineRule="auto"/>
            </w:pPr>
            <w:r>
              <w:rPr>
                <w:rFonts w:ascii="Calibri" w:hAnsi="Calibri"/>
                <w:color w:val="1F2933"/>
                <w:sz w:val="14"/>
              </w:rPr>
              <w:t>Can estimate blocked Vp or density fields where justified.</w:t>
            </w:r>
          </w:p>
        </w:tc>
        <w:tc>
          <w:tcPr>
            <w:tcW w:type="dxa" w:w="3096"/>
          </w:tcPr>
          <w:p>
            <w:pPr>
              <w:spacing w:after="0" w:line="259" w:lineRule="auto"/>
            </w:pPr>
            <w:r>
              <w:rPr>
                <w:rFonts w:ascii="Calibri" w:hAnsi="Calibri"/>
                <w:color w:val="1F2933"/>
                <w:sz w:val="14"/>
              </w:rPr>
              <w:t>Optional with measured/estimated provenance flags.</w:t>
            </w:r>
          </w:p>
        </w:tc>
      </w:tr>
    </w:tbl>
    <w:p>
      <w:pPr>
        <w:spacing w:after="80"/>
      </w:pPr>
    </w:p>
    <w:p>
      <w:pPr>
        <w:pStyle w:val="Heading1"/>
      </w:pPr>
      <w:r>
        <w:t>9. Validation, Outputs, and Research Claims</w:t>
      </w:r>
    </w:p>
    <w:p>
      <w:pPr>
        <w:spacing w:after="140" w:line="293" w:lineRule="auto"/>
      </w:pPr>
      <w:r>
        <w:rPr>
          <w:rFonts w:ascii="Calibri" w:hAnsi="Calibri"/>
          <w:i w:val="0"/>
          <w:color w:val="1F2933"/>
          <w:sz w:val="20"/>
        </w:rPr>
        <w:t>Validation should use complete wells, compartments, or geologically meaningful holdouts. Random depth-row splits can be used for debugging, but they are not the final standard because adjacent depth samples from the same well share geology, tool response, and labeling assumptions. Scaling, imputation, feature selection, and calibration must be fitted on training wells only and applied unchanged to validation and locked-test wells.</w:t>
      </w:r>
    </w:p>
    <w:p>
      <w:pPr>
        <w:spacing w:after="140" w:line="293" w:lineRule="auto"/>
      </w:pPr>
      <w:r>
        <w:rPr>
          <w:rFonts w:ascii="Calibri" w:hAnsi="Calibri"/>
          <w:i w:val="0"/>
          <w:color w:val="1F2933"/>
          <w:sz w:val="20"/>
        </w:rPr>
        <w:t>The outputs should stay separated: occurrence probability, saturation estimate, uncertainty or confidence, QC status, mimic flags, reason flags, and producibility/permeability context. Permeability matters for development planning, but it is not an occurrence label. A public deliverable may show structure, method, template outputs, or approved public-safe summaries; it should not show row-level predictions or final performance metrics until reviewed.</w:t>
      </w:r>
    </w:p>
    <w:p>
      <w:pPr>
        <w:pStyle w:val="Heading1"/>
      </w:pPr>
      <w:r>
        <w:t>10. Mentor Decisions Before Results Claims</w:t>
      </w:r>
    </w:p>
    <w:tbl>
      <w:tblPr>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944"/>
        <w:gridCol w:w="4464"/>
        <w:gridCol w:w="2952"/>
      </w:tblGrid>
      <w:tr>
        <w:tc>
          <w:tcPr>
            <w:tcW w:type="dxa" w:w="1944"/>
            <w:tcMar>
              <w:top w:w="80" w:type="dxa"/>
              <w:start w:w="120" w:type="dxa"/>
              <w:bottom w:w="80" w:type="dxa"/>
              <w:end w:w="120" w:type="dxa"/>
            </w:tcMar>
            <w:vAlign w:val="center"/>
            <w:shd w:fill="F4F6F8"/>
          </w:tcPr>
          <w:p>
            <w:pPr>
              <w:spacing w:after="0"/>
            </w:pPr>
            <w:r>
              <w:rPr>
                <w:rFonts w:ascii="Calibri" w:hAnsi="Calibri"/>
                <w:b/>
                <w:color w:val="17384D"/>
                <w:sz w:val="14"/>
              </w:rPr>
              <w:t>Decision area</w:t>
            </w:r>
          </w:p>
        </w:tc>
        <w:tc>
          <w:tcPr>
            <w:tcW w:type="dxa" w:w="4464"/>
            <w:tcMar>
              <w:top w:w="80" w:type="dxa"/>
              <w:start w:w="120" w:type="dxa"/>
              <w:bottom w:w="80" w:type="dxa"/>
              <w:end w:w="120" w:type="dxa"/>
            </w:tcMar>
            <w:vAlign w:val="center"/>
            <w:shd w:fill="F4F6F8"/>
          </w:tcPr>
          <w:p>
            <w:pPr>
              <w:spacing w:after="0"/>
            </w:pPr>
            <w:r>
              <w:rPr>
                <w:rFonts w:ascii="Calibri" w:hAnsi="Calibri"/>
                <w:b/>
                <w:color w:val="17384D"/>
                <w:sz w:val="14"/>
              </w:rPr>
              <w:t>Question to resolve</w:t>
            </w:r>
          </w:p>
        </w:tc>
        <w:tc>
          <w:tcPr>
            <w:tcW w:type="dxa" w:w="2952"/>
            <w:tcMar>
              <w:top w:w="80" w:type="dxa"/>
              <w:start w:w="120" w:type="dxa"/>
              <w:bottom w:w="80" w:type="dxa"/>
              <w:end w:w="120" w:type="dxa"/>
            </w:tcMar>
            <w:vAlign w:val="center"/>
            <w:shd w:fill="F4F6F8"/>
          </w:tcPr>
          <w:p>
            <w:pPr>
              <w:spacing w:after="0"/>
            </w:pPr>
            <w:r>
              <w:rPr>
                <w:rFonts w:ascii="Calibri" w:hAnsi="Calibri"/>
                <w:b/>
                <w:color w:val="17384D"/>
                <w:sz w:val="14"/>
              </w:rPr>
              <w:t>Why it matters</w:t>
            </w:r>
          </w:p>
        </w:tc>
      </w:tr>
      <w:tr>
        <w:tc>
          <w:tcPr>
            <w:tcW w:type="dxa" w:w="1944"/>
          </w:tcPr>
          <w:p>
            <w:pPr>
              <w:spacing w:after="0" w:line="259" w:lineRule="auto"/>
            </w:pPr>
            <w:r>
              <w:rPr>
                <w:rFonts w:ascii="Calibri" w:hAnsi="Calibri"/>
                <w:color w:val="1F2933"/>
                <w:sz w:val="14"/>
              </w:rPr>
              <w:t>Target authority</w:t>
            </w:r>
          </w:p>
        </w:tc>
        <w:tc>
          <w:tcPr>
            <w:tcW w:type="dxa" w:w="4464"/>
          </w:tcPr>
          <w:p>
            <w:pPr>
              <w:spacing w:after="0" w:line="259" w:lineRule="auto"/>
            </w:pPr>
            <w:r>
              <w:rPr>
                <w:rFonts w:ascii="Calibri" w:hAnsi="Calibri"/>
                <w:color w:val="1F2933"/>
                <w:sz w:val="14"/>
              </w:rPr>
              <w:t>Which field is the authoritative saturation target and which field defines occurrence?</w:t>
            </w:r>
          </w:p>
        </w:tc>
        <w:tc>
          <w:tcPr>
            <w:tcW w:type="dxa" w:w="2952"/>
          </w:tcPr>
          <w:p>
            <w:pPr>
              <w:spacing w:after="0" w:line="259" w:lineRule="auto"/>
            </w:pPr>
            <w:r>
              <w:rPr>
                <w:rFonts w:ascii="Calibri" w:hAnsi="Calibri"/>
                <w:color w:val="1F2933"/>
                <w:sz w:val="14"/>
              </w:rPr>
              <w:t>Prevents target leakage and contradictory labels.</w:t>
            </w:r>
          </w:p>
        </w:tc>
      </w:tr>
      <w:tr>
        <w:tc>
          <w:tcPr>
            <w:tcW w:type="dxa" w:w="1944"/>
          </w:tcPr>
          <w:p>
            <w:pPr>
              <w:spacing w:after="0" w:line="259" w:lineRule="auto"/>
            </w:pPr>
            <w:r>
              <w:rPr>
                <w:rFonts w:ascii="Calibri" w:hAnsi="Calibri"/>
                <w:color w:val="1F2933"/>
                <w:sz w:val="14"/>
              </w:rPr>
              <w:t>Units</w:t>
            </w:r>
          </w:p>
        </w:tc>
        <w:tc>
          <w:tcPr>
            <w:tcW w:type="dxa" w:w="4464"/>
          </w:tcPr>
          <w:p>
            <w:pPr>
              <w:spacing w:after="0" w:line="259" w:lineRule="auto"/>
            </w:pPr>
            <w:r>
              <w:rPr>
                <w:rFonts w:ascii="Calibri" w:hAnsi="Calibri"/>
                <w:color w:val="1F2933"/>
                <w:sz w:val="14"/>
              </w:rPr>
              <w:t>Are saturation values fractions or percentages, and are depth/velocity/density units confirmed?</w:t>
            </w:r>
          </w:p>
        </w:tc>
        <w:tc>
          <w:tcPr>
            <w:tcW w:type="dxa" w:w="2952"/>
          </w:tcPr>
          <w:p>
            <w:pPr>
              <w:spacing w:after="0" w:line="259" w:lineRule="auto"/>
            </w:pPr>
            <w:r>
              <w:rPr>
                <w:rFonts w:ascii="Calibri" w:hAnsi="Calibri"/>
                <w:color w:val="1F2933"/>
                <w:sz w:val="14"/>
              </w:rPr>
              <w:t>Prevents scale errors in features and targets.</w:t>
            </w:r>
          </w:p>
        </w:tc>
      </w:tr>
      <w:tr>
        <w:tc>
          <w:tcPr>
            <w:tcW w:type="dxa" w:w="1944"/>
          </w:tcPr>
          <w:p>
            <w:pPr>
              <w:spacing w:after="0" w:line="259" w:lineRule="auto"/>
            </w:pPr>
            <w:r>
              <w:rPr>
                <w:rFonts w:ascii="Calibri" w:hAnsi="Calibri"/>
                <w:color w:val="1F2933"/>
                <w:sz w:val="14"/>
              </w:rPr>
              <w:t>Validation split</w:t>
            </w:r>
          </w:p>
        </w:tc>
        <w:tc>
          <w:tcPr>
            <w:tcW w:type="dxa" w:w="4464"/>
          </w:tcPr>
          <w:p>
            <w:pPr>
              <w:spacing w:after="0" w:line="259" w:lineRule="auto"/>
            </w:pPr>
            <w:r>
              <w:rPr>
                <w:rFonts w:ascii="Calibri" w:hAnsi="Calibri"/>
                <w:color w:val="1F2933"/>
                <w:sz w:val="14"/>
              </w:rPr>
              <w:t>Which wells are training, validation, locked-test, and prediction wells?</w:t>
            </w:r>
          </w:p>
        </w:tc>
        <w:tc>
          <w:tcPr>
            <w:tcW w:type="dxa" w:w="2952"/>
          </w:tcPr>
          <w:p>
            <w:pPr>
              <w:spacing w:after="0" w:line="259" w:lineRule="auto"/>
            </w:pPr>
            <w:r>
              <w:rPr>
                <w:rFonts w:ascii="Calibri" w:hAnsi="Calibri"/>
                <w:color w:val="1F2933"/>
                <w:sz w:val="14"/>
              </w:rPr>
              <w:t>Controls whether performance claims are defensible.</w:t>
            </w:r>
          </w:p>
        </w:tc>
      </w:tr>
      <w:tr>
        <w:tc>
          <w:tcPr>
            <w:tcW w:type="dxa" w:w="1944"/>
          </w:tcPr>
          <w:p>
            <w:pPr>
              <w:spacing w:after="0" w:line="259" w:lineRule="auto"/>
            </w:pPr>
            <w:r>
              <w:rPr>
                <w:rFonts w:ascii="Calibri" w:hAnsi="Calibri"/>
                <w:color w:val="1F2933"/>
                <w:sz w:val="14"/>
              </w:rPr>
              <w:t>QC policy</w:t>
            </w:r>
          </w:p>
        </w:tc>
        <w:tc>
          <w:tcPr>
            <w:tcW w:type="dxa" w:w="4464"/>
          </w:tcPr>
          <w:p>
            <w:pPr>
              <w:spacing w:after="0" w:line="259" w:lineRule="auto"/>
            </w:pPr>
            <w:r>
              <w:rPr>
                <w:rFonts w:ascii="Calibri" w:hAnsi="Calibri"/>
                <w:color w:val="1F2933"/>
                <w:sz w:val="14"/>
              </w:rPr>
              <w:t>Which caliper, washout, outlier, and missingness rules are valid?</w:t>
            </w:r>
          </w:p>
        </w:tc>
        <w:tc>
          <w:tcPr>
            <w:tcW w:type="dxa" w:w="2952"/>
          </w:tcPr>
          <w:p>
            <w:pPr>
              <w:spacing w:after="0" w:line="259" w:lineRule="auto"/>
            </w:pPr>
            <w:r>
              <w:rPr>
                <w:rFonts w:ascii="Calibri" w:hAnsi="Calibri"/>
                <w:color w:val="1F2933"/>
                <w:sz w:val="14"/>
              </w:rPr>
              <w:t>Protects density, neutron, sonic, and resistivity interpretation.</w:t>
            </w:r>
          </w:p>
        </w:tc>
      </w:tr>
      <w:tr>
        <w:tc>
          <w:tcPr>
            <w:tcW w:type="dxa" w:w="1944"/>
          </w:tcPr>
          <w:p>
            <w:pPr>
              <w:spacing w:after="0" w:line="259" w:lineRule="auto"/>
            </w:pPr>
            <w:r>
              <w:rPr>
                <w:rFonts w:ascii="Calibri" w:hAnsi="Calibri"/>
                <w:color w:val="1F2933"/>
                <w:sz w:val="14"/>
              </w:rPr>
              <w:t>NMR role</w:t>
            </w:r>
          </w:p>
        </w:tc>
        <w:tc>
          <w:tcPr>
            <w:tcW w:type="dxa" w:w="4464"/>
          </w:tcPr>
          <w:p>
            <w:pPr>
              <w:spacing w:after="0" w:line="259" w:lineRule="auto"/>
            </w:pPr>
            <w:r>
              <w:rPr>
                <w:rFonts w:ascii="Calibri" w:hAnsi="Calibri"/>
                <w:color w:val="1F2933"/>
                <w:sz w:val="14"/>
              </w:rPr>
              <w:t>Which NMR fields are measured inputs and which are derived targets?</w:t>
            </w:r>
          </w:p>
        </w:tc>
        <w:tc>
          <w:tcPr>
            <w:tcW w:type="dxa" w:w="2952"/>
          </w:tcPr>
          <w:p>
            <w:pPr>
              <w:spacing w:after="0" w:line="259" w:lineRule="auto"/>
            </w:pPr>
            <w:r>
              <w:rPr>
                <w:rFonts w:ascii="Calibri" w:hAnsi="Calibri"/>
                <w:color w:val="1F2933"/>
                <w:sz w:val="14"/>
              </w:rPr>
              <w:t>Separates valid predictors from labels.</w:t>
            </w:r>
          </w:p>
        </w:tc>
      </w:tr>
      <w:tr>
        <w:tc>
          <w:tcPr>
            <w:tcW w:type="dxa" w:w="1944"/>
          </w:tcPr>
          <w:p>
            <w:pPr>
              <w:spacing w:after="0" w:line="259" w:lineRule="auto"/>
            </w:pPr>
            <w:r>
              <w:rPr>
                <w:rFonts w:ascii="Calibri" w:hAnsi="Calibri"/>
                <w:color w:val="1F2933"/>
                <w:sz w:val="14"/>
              </w:rPr>
              <w:t>Public output policy</w:t>
            </w:r>
          </w:p>
        </w:tc>
        <w:tc>
          <w:tcPr>
            <w:tcW w:type="dxa" w:w="4464"/>
          </w:tcPr>
          <w:p>
            <w:pPr>
              <w:spacing w:after="0" w:line="259" w:lineRule="auto"/>
            </w:pPr>
            <w:r>
              <w:rPr>
                <w:rFonts w:ascii="Calibri" w:hAnsi="Calibri"/>
                <w:color w:val="1F2933"/>
                <w:sz w:val="14"/>
              </w:rPr>
              <w:t>What summaries can leave the approved runtime?</w:t>
            </w:r>
          </w:p>
        </w:tc>
        <w:tc>
          <w:tcPr>
            <w:tcW w:type="dxa" w:w="2952"/>
          </w:tcPr>
          <w:p>
            <w:pPr>
              <w:spacing w:after="0" w:line="259" w:lineRule="auto"/>
            </w:pPr>
            <w:r>
              <w:rPr>
                <w:rFonts w:ascii="Calibri" w:hAnsi="Calibri"/>
                <w:color w:val="1F2933"/>
                <w:sz w:val="14"/>
              </w:rPr>
              <w:t>Keeps GitHub, Streamlit, Word, and slides public-safe.</w:t>
            </w:r>
          </w:p>
        </w:tc>
      </w:tr>
    </w:tbl>
    <w:p>
      <w:pPr>
        <w:spacing w:after="80"/>
      </w:pPr>
    </w:p>
    <w:p>
      <w:pPr>
        <w:pStyle w:val="Heading1"/>
      </w:pPr>
      <w:r>
        <w:t>References</w:t>
      </w:r>
    </w:p>
    <w:p>
      <w:pPr>
        <w:spacing w:after="140" w:line="293" w:lineRule="auto"/>
      </w:pPr>
      <w:r>
        <w:rPr>
          <w:rFonts w:ascii="Calibri" w:hAnsi="Calibri"/>
          <w:i w:val="0"/>
          <w:color w:val="1F2933"/>
          <w:sz w:val="17"/>
        </w:rPr>
        <w:t>Aung, T.T., Naito, K., Tano, K., Tamaki, M., and Boswell, R., 2026, Alaska North Slope Extended-Duration Gas Hydrate Production Test Site Logging-While-Drilling Data Acquisition, Energy &amp; Fuels, https://doi.org/10.1021/acs.energyfuels.5c06115.</w:t>
      </w:r>
    </w:p>
    <w:p>
      <w:pPr>
        <w:spacing w:after="140" w:line="293" w:lineRule="auto"/>
      </w:pPr>
      <w:r>
        <w:rPr>
          <w:rFonts w:ascii="Calibri" w:hAnsi="Calibri"/>
          <w:i w:val="0"/>
          <w:color w:val="1F2933"/>
          <w:sz w:val="17"/>
        </w:rPr>
        <w:t>Chong, L., Singh, H., Creason, C.G., Seol, Y., and Myshakin, E.M., 2022, Application of machine learning to characterize gas hydrate reservoirs in Mackenzie Delta (Canada) and on the Alaska North Slope (USA), Computational Geosciences, https://doi.org/10.1007/s10596-022-10151-9.</w:t>
      </w:r>
    </w:p>
    <w:p>
      <w:pPr>
        <w:spacing w:after="140" w:line="293" w:lineRule="auto"/>
      </w:pPr>
      <w:r>
        <w:rPr>
          <w:rFonts w:ascii="Calibri" w:hAnsi="Calibri"/>
          <w:i w:val="0"/>
          <w:color w:val="1F2933"/>
          <w:sz w:val="17"/>
        </w:rPr>
        <w:t>Chong, L., Collett, T.S., Creason, C.G., Seol, Y., and Myshakin, E.M., 2024, Machine learning application to assess occurrence and saturations of methane hydrate in marine deposits offshore India, Interpretation, https://doi.org/10.1190/int-2023-0056.1.</w:t>
      </w:r>
    </w:p>
    <w:p>
      <w:pPr>
        <w:spacing w:after="140" w:line="293" w:lineRule="auto"/>
      </w:pPr>
      <w:r>
        <w:rPr>
          <w:rFonts w:ascii="Calibri" w:hAnsi="Calibri"/>
          <w:i w:val="0"/>
          <w:color w:val="1F2933"/>
          <w:sz w:val="17"/>
        </w:rPr>
        <w:t>Collett, T.S., Lewis, K.A., Zyrianova, M.V., and others, 2019, Assessment of undiscovered gas hydrate resources in the North Slope of Alaska, 2018, U.S. Geological Survey Fact Sheet 2019-3037, https://doi.org/10.3133/fs20193037.</w:t>
      </w:r>
    </w:p>
    <w:p>
      <w:pPr>
        <w:spacing w:after="140" w:line="293" w:lineRule="auto"/>
      </w:pPr>
      <w:r>
        <w:rPr>
          <w:rFonts w:ascii="Calibri" w:hAnsi="Calibri"/>
          <w:i w:val="0"/>
          <w:color w:val="1F2933"/>
          <w:sz w:val="17"/>
        </w:rPr>
        <w:t>Cook, A.E., and Waite, W.F., 2018, Archie's saturation exponent for natural gas hydrate in coarse-grained reservoirs, Journal of Geophysical Research: Solid Earth, https://pubs.usgs.gov/publication/70196200.</w:t>
      </w:r>
    </w:p>
    <w:p>
      <w:pPr>
        <w:spacing w:after="140" w:line="293" w:lineRule="auto"/>
      </w:pPr>
      <w:r>
        <w:rPr>
          <w:rFonts w:ascii="Calibri" w:hAnsi="Calibri"/>
          <w:i w:val="0"/>
          <w:color w:val="1F2933"/>
          <w:sz w:val="17"/>
        </w:rPr>
        <w:t>Haines, S.S., Collett, T.S., Yoneda, J., Shimoda, N., Boswell, R., and Okinaka, N., 2022, Gas hydrate saturation estimates, gas hydrate occurrence, and reservoir characteristics based on well log data from the Hydrate-01 stratigraphic test well, Alaska North Slope, Energy &amp; Fuels, https://doi.org/10.1021/acs.energyfuels.1c04100.</w:t>
      </w:r>
    </w:p>
    <w:p>
      <w:pPr>
        <w:spacing w:after="140" w:line="293" w:lineRule="auto"/>
      </w:pPr>
      <w:r>
        <w:rPr>
          <w:rFonts w:ascii="Calibri" w:hAnsi="Calibri"/>
          <w:i w:val="0"/>
          <w:color w:val="1F2933"/>
          <w:sz w:val="17"/>
        </w:rPr>
        <w:t>Helmold, K.P., and LePain, D.L., 2023, Controls on reservoir quality of the Nanushuk Formation (Albian-Cenomanian), North Slope, Alaska, Marine and Petroleum Geology, https://doi.org/10.1016/j.marpetgeo.2022.105877.</w:t>
      </w:r>
    </w:p>
    <w:p>
      <w:pPr>
        <w:spacing w:after="140" w:line="293" w:lineRule="auto"/>
      </w:pPr>
      <w:r>
        <w:rPr>
          <w:rFonts w:ascii="Calibri" w:hAnsi="Calibri"/>
          <w:i w:val="0"/>
          <w:color w:val="1F2933"/>
          <w:sz w:val="17"/>
        </w:rPr>
        <w:t>Lee, M.W., and Collett, T.S., 2011, In-situ gas hydrate saturation estimated from various well logs at the Mount Elbert Gas Hydrate Stratigraphic Test Well, Alaska North Slope, Marine and Petroleum Geology, https://pubs.usgs.gov/publication/70036903.</w:t>
      </w:r>
    </w:p>
    <w:p>
      <w:pPr>
        <w:spacing w:after="140" w:line="293" w:lineRule="auto"/>
      </w:pPr>
      <w:r>
        <w:rPr>
          <w:rFonts w:ascii="Calibri" w:hAnsi="Calibri"/>
          <w:i w:val="0"/>
          <w:color w:val="1F2933"/>
          <w:sz w:val="17"/>
        </w:rPr>
        <w:t>Li, C., and Liu, X., 2020, Research on the estimate of gas hydrate saturation based on LSTM recurrent neural network, Energies, https://doi.org/10.3390/en13246536.</w:t>
      </w:r>
    </w:p>
    <w:p>
      <w:pPr>
        <w:spacing w:after="140" w:line="293" w:lineRule="auto"/>
      </w:pPr>
      <w:r>
        <w:rPr>
          <w:rFonts w:ascii="Calibri" w:hAnsi="Calibri"/>
          <w:i w:val="0"/>
          <w:color w:val="1F2933"/>
          <w:sz w:val="17"/>
        </w:rPr>
        <w:t>Naim, F., Cook, A.E., and Moortgat, J., 2023, Estimating compressional velocity and bulk density logs in marine gas hydrates using machine learning, Energies, https://doi.org/10.3390/en16237709.</w:t>
      </w:r>
    </w:p>
    <w:p>
      <w:pPr>
        <w:spacing w:after="140" w:line="293" w:lineRule="auto"/>
      </w:pPr>
      <w:r>
        <w:rPr>
          <w:rFonts w:ascii="Calibri" w:hAnsi="Calibri"/>
          <w:i w:val="0"/>
          <w:color w:val="1F2933"/>
          <w:sz w:val="17"/>
        </w:rPr>
        <w:t>Singh, H., Seol, Y., and Myshakin, E.M., 2021, Prediction of gas hydrate saturation using machine learning and optimal set of well-logs, Computational Geosciences, https://doi.org/10.1007/s10596-020-10004-3.</w:t>
      </w:r>
    </w:p>
    <w:p>
      <w:pPr>
        <w:spacing w:after="140" w:line="293" w:lineRule="auto"/>
      </w:pPr>
      <w:r>
        <w:rPr>
          <w:rFonts w:ascii="Calibri" w:hAnsi="Calibri"/>
          <w:i w:val="0"/>
          <w:color w:val="1F2933"/>
          <w:sz w:val="17"/>
        </w:rPr>
        <w:t>Tian, D., Yang, S., Gong, Y., Geng, M., Li, Y., and Hu, G., 2023, A comparative study of machine learning methods for gas hydrate identification, Geoenergy Science and Engineering, https://doi.org/10.1016/j.geoen.2023.211564.</w:t>
      </w:r>
    </w:p>
    <w:p>
      <w:pPr>
        <w:spacing w:after="140" w:line="293" w:lineRule="auto"/>
      </w:pPr>
      <w:r>
        <w:rPr>
          <w:rFonts w:ascii="Calibri" w:hAnsi="Calibri"/>
          <w:i w:val="0"/>
          <w:color w:val="1F2933"/>
          <w:sz w:val="17"/>
        </w:rPr>
        <w:t>Yoneda, J., Hiruta, A., Oshima, M., Jin, Y., Ohtsuki, S., Arima, Y., Nakatsuka, Y., and Okinaka, N., 2026, Permeability evaluation of hydrate reservoirs based on NMR T2 relaxation time from both log and laboratory data, Alaska North Slope HYDRATE 02 Geo Data Well, Energy &amp; Fuels, https://doi.org/10.1021/acs.energyfuels.5c05321.</w:t>
      </w:r>
    </w:p>
    <w:p>
      <w:pPr>
        <w:spacing w:after="140" w:line="293" w:lineRule="auto"/>
      </w:pPr>
      <w:r>
        <w:rPr>
          <w:rFonts w:ascii="Calibri" w:hAnsi="Calibri"/>
          <w:i w:val="0"/>
          <w:color w:val="1F2933"/>
          <w:sz w:val="17"/>
        </w:rPr>
        <w:t>Zyrianova, M.V., Collett, T.S., and Boswell, R., 2024, Characterization of structural, stratigraphic, and reservoir controls on gas hydrate occurrence in the Eileen Gas Hydrate Trend, Alaska North Slope, JMSE, https://www.mdpi.com/2077-1312/12/3/472.</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0"/>
        <w:sz w:val="16"/>
      </w:rPr>
      <w:t>North Slope Gas Hydrate Research Overview | public-safe methods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