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83" w:lineRule="auto"/>
      </w:pPr>
      <w:r>
        <w:rPr>
          <w:rFonts w:ascii="Calibri" w:hAnsi="Calibri"/>
          <w:b/>
          <w:i w:val="0"/>
          <w:color w:val="D9773D"/>
          <w:sz w:val="18"/>
        </w:rPr>
        <w:t>PUBLIC-SOURCE RESEARCH DRAFT</w:t>
      </w:r>
    </w:p>
    <w:p>
      <w:pPr>
        <w:spacing w:before="0" w:after="120" w:line="283" w:lineRule="auto"/>
      </w:pPr>
      <w:r>
        <w:rPr>
          <w:rFonts w:ascii="Calibri" w:hAnsi="Calibri"/>
          <w:b/>
          <w:i w:val="0"/>
          <w:color w:val="123447"/>
          <w:sz w:val="44"/>
        </w:rPr>
        <w:t>Physics-Constrained Wireline Machine Learning for Gas Hydrate Detection and Producibility Screening on the Alaska North Slope</w:t>
      </w:r>
    </w:p>
    <w:p>
      <w:pPr>
        <w:spacing w:before="0" w:after="240" w:line="283" w:lineRule="auto"/>
      </w:pPr>
      <w:r>
        <w:rPr>
          <w:rFonts w:ascii="Calibri" w:hAnsi="Calibri"/>
          <w:b w:val="0"/>
          <w:i/>
          <w:color w:val="167D8D"/>
          <w:sz w:val="25"/>
        </w:rPr>
        <w:t>Research-paper-style scaffold built from the manuscript, organized source library, and public-source atlas</w:t>
      </w:r>
    </w:p>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tcMar>
              <w:top w:w="80" w:type="dxa"/>
              <w:start w:w="120" w:type="dxa"/>
              <w:bottom w:w="80" w:type="dxa"/>
              <w:end w:w="120" w:type="dxa"/>
            </w:tcMar>
            <w:shd w:fill="F4EFE6"/>
            <w:vAlign w:val="center"/>
          </w:tcPr>
          <w:p>
            <w:r>
              <w:rPr>
                <w:rFonts w:ascii="Calibri" w:hAnsi="Calibri"/>
                <w:b w:val="0"/>
                <w:i w:val="0"/>
                <w:color w:val="172B3A"/>
                <w:sz w:val="18"/>
              </w:rPr>
              <w:t>Boundary: This document is a public-source planning draft. It contains no classified or restricted well-log data, no approved-runtime identifiers, and no populated sensitive results. Future approved inputs and outputs must remain inside the authorized DOE environment.</w:t>
            </w:r>
          </w:p>
        </w:tc>
      </w:tr>
    </w:tbl>
    <w:p>
      <w:pPr>
        <w:spacing w:before="0" w:after="20" w:line="283" w:lineRule="auto"/>
      </w:pPr>
      <w:r>
        <w:rPr>
          <w:rFonts w:ascii="Calibri" w:hAnsi="Calibri"/>
          <w:b w:val="0"/>
          <w:i w:val="0"/>
          <w:color w:val="172B3A"/>
          <w:sz w:val="21"/>
        </w:rPr>
      </w:r>
    </w:p>
    <w:p>
      <w:pPr>
        <w:pStyle w:val="Heading1"/>
        <w:keepNext/>
      </w:pPr>
      <w:r>
        <w:t>Abstract</w:t>
      </w:r>
    </w:p>
    <w:p>
      <w:pPr>
        <w:spacing w:before="0" w:after="120" w:line="283" w:lineRule="auto"/>
      </w:pPr>
      <w:r>
        <w:rPr>
          <w:rFonts w:ascii="Calibri" w:hAnsi="Calibri"/>
          <w:b w:val="0"/>
          <w:i w:val="0"/>
          <w:color w:val="172B3A"/>
          <w:sz w:val="21"/>
        </w:rPr>
        <w:t>Gas hydrate interpretation on the Alaska North Slope requires more than locating intervals inside a pressure-temperature stability field. Hydrate occurrence depends on the coupled overlap of stability, gas charge, reservoir quality, migration access, trapping geometry, water availability, and geologic timing. This draft proposes a physics-constrained wireline machine-learning workflow that converts approved log measurements into auditable interval-scale features, staged labels, uncertainty flags, and producibility ranks. The workflow separates hydrate admissibility, reservoir quality, phase classification, saturation estimation, structural localization, and producibility screening so that high resistivity, favorable stability, or good reservoir quality cannot become shortcut labels.</w:t>
      </w:r>
    </w:p>
    <w:p>
      <w:pPr>
        <w:pStyle w:val="Heading1"/>
        <w:keepNext/>
      </w:pPr>
      <w:r>
        <w:t>1. Introduction</w:t>
      </w:r>
    </w:p>
    <w:p>
      <w:pPr>
        <w:spacing w:before="0" w:after="120" w:line="283" w:lineRule="auto"/>
      </w:pPr>
      <w:r>
        <w:rPr>
          <w:rFonts w:ascii="Calibri" w:hAnsi="Calibri"/>
          <w:b w:val="0"/>
          <w:i w:val="0"/>
          <w:color w:val="172B3A"/>
          <w:sz w:val="21"/>
        </w:rPr>
        <w:t>The central interpretive problem is that the same log response can reflect multiple physical states. High resistivity can indicate hydrate, gas, low porosity, competent lithology, clay effects, carbonate, coal, or ice-bearing sediment. Elevated velocity can reflect hydrate frame stiffening, compaction, cementation, stress, or competent lithology. A research-grade workflow must therefore preserve competing explanations and require multi-log agreement before assigning hydrate-supportive meaning.</w:t>
      </w:r>
    </w:p>
    <w:p>
      <w:pPr>
        <w:spacing w:before="0" w:after="120" w:line="283" w:lineRule="auto"/>
      </w:pPr>
      <w:r>
        <w:rPr>
          <w:rFonts w:ascii="Calibri" w:hAnsi="Calibri"/>
          <w:b w:val="0"/>
          <w:i w:val="0"/>
          <w:color w:val="172B3A"/>
          <w:sz w:val="21"/>
        </w:rPr>
        <w:t>The manuscript frames the project as a coupled system: environment -&gt; tectonics -&gt; deposition -&gt; reservoir -&gt; physics -&gt; logs -&gt; interpretation -&gt; ML -&gt; exploitation. The research paper structure below keeps that chain visible while converting it into measurable features and equations.</w:t>
      </w:r>
    </w:p>
    <w:p>
      <w:pPr>
        <w:pStyle w:val="Heading1"/>
        <w:keepNext/>
      </w:pPr>
      <w:r>
        <w:t>2. Organized Source Base</w:t>
      </w:r>
    </w:p>
    <w:p>
      <w:pPr>
        <w:spacing w:before="0" w:after="120" w:line="283" w:lineRule="auto"/>
      </w:pPr>
      <w:r>
        <w:rPr>
          <w:rFonts w:ascii="Calibri" w:hAnsi="Calibri"/>
          <w:b w:val="0"/>
          <w:i w:val="0"/>
          <w:color w:val="172B3A"/>
          <w:sz w:val="21"/>
        </w:rPr>
        <w:t>Candidate sources were organized into a local source library under `Gas hydrates unclassified info/source_library`. The library is a planning aid and should still be reviewed for formal provenance before final citation formatting.</w:t>
      </w:r>
    </w:p>
    <w:tbl>
      <w:tblPr>
        <w:tblStyle w:val="TableGrid"/>
        <w:tblW w:type="auto" w:w="0"/>
        <w:jc w:val="left"/>
        <w:tblLayout w:type="fixed"/>
        <w:tblLook w:firstColumn="1" w:firstRow="1" w:lastColumn="0" w:lastRow="0" w:noHBand="0" w:noVBand="1" w:val="04A0"/>
      </w:tblPr>
      <w:tblGrid>
        <w:gridCol w:w="1900"/>
        <w:gridCol w:w="4200"/>
        <w:gridCol w:w="3260"/>
      </w:tblGrid>
      <w:tr>
        <w:trPr>
          <w:tblHeader w:val="true"/>
        </w:trPr>
        <w:tc>
          <w:tcPr>
            <w:tcW w:type="dxa" w:w="1900"/>
            <w:tcMar>
              <w:top w:w="80" w:type="dxa"/>
              <w:start w:w="120" w:type="dxa"/>
              <w:bottom w:w="80" w:type="dxa"/>
              <w:end w:w="120" w:type="dxa"/>
            </w:tcMar>
            <w:shd w:fill="123447"/>
            <w:vAlign w:val="center"/>
          </w:tcPr>
          <w:p>
            <w:r>
              <w:rPr>
                <w:rFonts w:ascii="Calibri" w:hAnsi="Calibri"/>
                <w:b/>
                <w:i w:val="0"/>
                <w:color w:val="FFFFFF"/>
                <w:sz w:val="16"/>
              </w:rPr>
              <w:t>Source group</w:t>
            </w:r>
          </w:p>
        </w:tc>
        <w:tc>
          <w:tcPr>
            <w:tcW w:type="dxa" w:w="4200"/>
            <w:tcMar>
              <w:top w:w="80" w:type="dxa"/>
              <w:start w:w="120" w:type="dxa"/>
              <w:bottom w:w="80" w:type="dxa"/>
              <w:end w:w="120" w:type="dxa"/>
            </w:tcMar>
            <w:shd w:fill="123447"/>
            <w:vAlign w:val="center"/>
          </w:tcPr>
          <w:p>
            <w:r>
              <w:rPr>
                <w:rFonts w:ascii="Calibri" w:hAnsi="Calibri"/>
                <w:b/>
                <w:i w:val="0"/>
                <w:color w:val="FFFFFF"/>
                <w:sz w:val="16"/>
              </w:rPr>
              <w:t>Planning role</w:t>
            </w:r>
          </w:p>
        </w:tc>
        <w:tc>
          <w:tcPr>
            <w:tcW w:type="dxa" w:w="3260"/>
            <w:tcMar>
              <w:top w:w="80" w:type="dxa"/>
              <w:start w:w="120" w:type="dxa"/>
              <w:bottom w:w="80" w:type="dxa"/>
              <w:end w:w="120" w:type="dxa"/>
            </w:tcMar>
            <w:shd w:fill="123447"/>
            <w:vAlign w:val="center"/>
          </w:tcPr>
          <w:p>
            <w:r>
              <w:rPr>
                <w:rFonts w:ascii="Calibri" w:hAnsi="Calibri"/>
                <w:b/>
                <w:i w:val="0"/>
                <w:color w:val="FFFFFF"/>
                <w:sz w:val="16"/>
              </w:rPr>
              <w:t>Examples</w:t>
            </w:r>
          </w:p>
        </w:tc>
      </w:tr>
      <w:tr>
        <w:tc>
          <w:tcPr>
            <w:tcW w:type="dxa" w:w="1900"/>
            <w:tcMar>
              <w:top w:w="80" w:type="dxa"/>
              <w:start w:w="120" w:type="dxa"/>
              <w:bottom w:w="80" w:type="dxa"/>
              <w:end w:w="120" w:type="dxa"/>
            </w:tcMar>
            <w:vAlign w:val="center"/>
          </w:tcPr>
          <w:p>
            <w:pPr>
              <w:spacing w:after="0"/>
            </w:pPr>
            <w:r>
              <w:rPr>
                <w:rFonts w:ascii="Calibri" w:hAnsi="Calibri"/>
                <w:b w:val="0"/>
                <w:i w:val="0"/>
                <w:color w:val="172B3A"/>
                <w:sz w:val="16"/>
              </w:rPr>
              <w:t>Manuscript synthesis</w:t>
            </w:r>
          </w:p>
        </w:tc>
        <w:tc>
          <w:tcPr>
            <w:tcW w:type="dxa" w:w="4200"/>
            <w:tcMar>
              <w:top w:w="80" w:type="dxa"/>
              <w:start w:w="120" w:type="dxa"/>
              <w:bottom w:w="80" w:type="dxa"/>
              <w:end w:w="120" w:type="dxa"/>
            </w:tcMar>
            <w:vAlign w:val="center"/>
          </w:tcPr>
          <w:p>
            <w:pPr>
              <w:spacing w:after="0"/>
            </w:pPr>
            <w:r>
              <w:rPr>
                <w:rFonts w:ascii="Calibri" w:hAnsi="Calibri"/>
                <w:b w:val="0"/>
                <w:i w:val="0"/>
                <w:color w:val="172B3A"/>
                <w:sz w:val="16"/>
              </w:rPr>
              <w:t>Preserves project-specific system logic, feature blocks, equations, and failure modes.</w:t>
            </w:r>
          </w:p>
        </w:tc>
        <w:tc>
          <w:tcPr>
            <w:tcW w:type="dxa" w:w="3260"/>
            <w:tcMar>
              <w:top w:w="80" w:type="dxa"/>
              <w:start w:w="120" w:type="dxa"/>
              <w:bottom w:w="80" w:type="dxa"/>
              <w:end w:w="120" w:type="dxa"/>
            </w:tcMar>
            <w:vAlign w:val="center"/>
          </w:tcPr>
          <w:p>
            <w:pPr>
              <w:spacing w:after="0"/>
            </w:pPr>
            <w:r>
              <w:rPr>
                <w:rFonts w:ascii="Calibri" w:hAnsi="Calibri"/>
                <w:b w:val="0"/>
                <w:i w:val="0"/>
                <w:color w:val="172B3A"/>
                <w:sz w:val="16"/>
              </w:rPr>
              <w:t>Manuscript North Slope draft; TRUE MASTER document; rewritten synthesis</w:t>
            </w:r>
          </w:p>
        </w:tc>
      </w:tr>
      <w:tr>
        <w:tc>
          <w:tcPr>
            <w:tcW w:type="dxa" w:w="1900"/>
            <w:tcMar>
              <w:top w:w="80" w:type="dxa"/>
              <w:start w:w="120" w:type="dxa"/>
              <w:bottom w:w="80" w:type="dxa"/>
              <w:end w:w="120" w:type="dxa"/>
            </w:tcMar>
            <w:vAlign w:val="center"/>
          </w:tcPr>
          <w:p>
            <w:pPr>
              <w:spacing w:after="0"/>
            </w:pPr>
            <w:r>
              <w:rPr>
                <w:rFonts w:ascii="Calibri" w:hAnsi="Calibri"/>
                <w:b w:val="0"/>
                <w:i w:val="0"/>
                <w:color w:val="172B3A"/>
                <w:sz w:val="16"/>
              </w:rPr>
              <w:t>USGS and field reports</w:t>
            </w:r>
          </w:p>
        </w:tc>
        <w:tc>
          <w:tcPr>
            <w:tcW w:type="dxa" w:w="4200"/>
            <w:tcMar>
              <w:top w:w="80" w:type="dxa"/>
              <w:start w:w="120" w:type="dxa"/>
              <w:bottom w:w="80" w:type="dxa"/>
              <w:end w:w="120" w:type="dxa"/>
            </w:tcMar>
            <w:vAlign w:val="center"/>
          </w:tcPr>
          <w:p>
            <w:pPr>
              <w:spacing w:after="0"/>
            </w:pPr>
            <w:r>
              <w:rPr>
                <w:rFonts w:ascii="Calibri" w:hAnsi="Calibri"/>
                <w:b w:val="0"/>
                <w:i w:val="0"/>
                <w:color w:val="172B3A"/>
                <w:sz w:val="16"/>
              </w:rPr>
              <w:t>Provides public field context for Mount Elbert, permafrost-associated hydrates, and Arctic resource framing.</w:t>
            </w:r>
          </w:p>
        </w:tc>
        <w:tc>
          <w:tcPr>
            <w:tcW w:type="dxa" w:w="3260"/>
            <w:tcMar>
              <w:top w:w="80" w:type="dxa"/>
              <w:start w:w="120" w:type="dxa"/>
              <w:bottom w:w="80" w:type="dxa"/>
              <w:end w:w="120" w:type="dxa"/>
            </w:tcMar>
            <w:vAlign w:val="center"/>
          </w:tcPr>
          <w:p>
            <w:pPr>
              <w:spacing w:after="0"/>
            </w:pPr>
            <w:r>
              <w:rPr>
                <w:rFonts w:ascii="Calibri" w:hAnsi="Calibri"/>
                <w:b w:val="0"/>
                <w:i w:val="0"/>
                <w:color w:val="172B3A"/>
                <w:sz w:val="16"/>
              </w:rPr>
              <w:t>sir2012-5054 summary/methods/chapters; sir2012-5147 Arctic report; Mount Elbert/permafrost report</w:t>
            </w:r>
          </w:p>
        </w:tc>
      </w:tr>
      <w:tr>
        <w:tc>
          <w:tcPr>
            <w:tcW w:type="dxa" w:w="1900"/>
            <w:tcMar>
              <w:top w:w="80" w:type="dxa"/>
              <w:start w:w="120" w:type="dxa"/>
              <w:bottom w:w="80" w:type="dxa"/>
              <w:end w:w="120" w:type="dxa"/>
            </w:tcMar>
            <w:vAlign w:val="center"/>
          </w:tcPr>
          <w:p>
            <w:pPr>
              <w:spacing w:after="0"/>
            </w:pPr>
            <w:r>
              <w:rPr>
                <w:rFonts w:ascii="Calibri" w:hAnsi="Calibri"/>
                <w:b w:val="0"/>
                <w:i w:val="0"/>
                <w:color w:val="172B3A"/>
                <w:sz w:val="16"/>
              </w:rPr>
              <w:t>Alaska geology and reservoir quality</w:t>
            </w:r>
          </w:p>
        </w:tc>
        <w:tc>
          <w:tcPr>
            <w:tcW w:type="dxa" w:w="4200"/>
            <w:tcMar>
              <w:top w:w="80" w:type="dxa"/>
              <w:start w:w="120" w:type="dxa"/>
              <w:bottom w:w="80" w:type="dxa"/>
              <w:end w:w="120" w:type="dxa"/>
            </w:tcMar>
            <w:vAlign w:val="center"/>
          </w:tcPr>
          <w:p>
            <w:pPr>
              <w:spacing w:after="0"/>
            </w:pPr>
            <w:r>
              <w:rPr>
                <w:rFonts w:ascii="Calibri" w:hAnsi="Calibri"/>
                <w:b w:val="0"/>
                <w:i w:val="0"/>
                <w:color w:val="172B3A"/>
                <w:sz w:val="16"/>
              </w:rPr>
              <w:t>Constrains North Slope tectonics, Nanushuk/Torok reservoir architecture, overburden, and basin context.</w:t>
            </w:r>
          </w:p>
        </w:tc>
        <w:tc>
          <w:tcPr>
            <w:tcW w:type="dxa" w:w="3260"/>
            <w:tcMar>
              <w:top w:w="80" w:type="dxa"/>
              <w:start w:w="120" w:type="dxa"/>
              <w:bottom w:w="80" w:type="dxa"/>
              <w:end w:w="120" w:type="dxa"/>
            </w:tcMar>
            <w:vAlign w:val="center"/>
          </w:tcPr>
          <w:p>
            <w:pPr>
              <w:spacing w:after="0"/>
            </w:pPr>
            <w:r>
              <w:rPr>
                <w:rFonts w:ascii="Calibri" w:hAnsi="Calibri"/>
                <w:b w:val="0"/>
                <w:i w:val="0"/>
                <w:color w:val="172B3A"/>
                <w:sz w:val="16"/>
              </w:rPr>
              <w:t>Nanushuk reservoir quality; North Slope geology/hydrocarbon resources; overburden framework</w:t>
            </w:r>
          </w:p>
        </w:tc>
      </w:tr>
      <w:tr>
        <w:tc>
          <w:tcPr>
            <w:tcW w:type="dxa" w:w="1900"/>
            <w:tcMar>
              <w:top w:w="80" w:type="dxa"/>
              <w:start w:w="120" w:type="dxa"/>
              <w:bottom w:w="80" w:type="dxa"/>
              <w:end w:w="120" w:type="dxa"/>
            </w:tcMar>
            <w:vAlign w:val="center"/>
          </w:tcPr>
          <w:p>
            <w:pPr>
              <w:spacing w:after="0"/>
            </w:pPr>
            <w:r>
              <w:rPr>
                <w:rFonts w:ascii="Calibri" w:hAnsi="Calibri"/>
                <w:b w:val="0"/>
                <w:i w:val="0"/>
                <w:color w:val="172B3A"/>
                <w:sz w:val="16"/>
              </w:rPr>
              <w:t>Wireline equations and ranges</w:t>
            </w:r>
          </w:p>
        </w:tc>
        <w:tc>
          <w:tcPr>
            <w:tcW w:type="dxa" w:w="4200"/>
            <w:tcMar>
              <w:top w:w="80" w:type="dxa"/>
              <w:start w:w="120" w:type="dxa"/>
              <w:bottom w:w="80" w:type="dxa"/>
              <w:end w:w="120" w:type="dxa"/>
            </w:tcMar>
            <w:vAlign w:val="center"/>
          </w:tcPr>
          <w:p>
            <w:pPr>
              <w:spacing w:after="0"/>
            </w:pPr>
            <w:r>
              <w:rPr>
                <w:rFonts w:ascii="Calibri" w:hAnsi="Calibri"/>
                <w:b w:val="0"/>
                <w:i w:val="0"/>
                <w:color w:val="172B3A"/>
                <w:sz w:val="16"/>
              </w:rPr>
              <w:t>Supplies equation maps, screening ranges, lambda-density, P-T, and overburden relationships.</w:t>
            </w:r>
          </w:p>
        </w:tc>
        <w:tc>
          <w:tcPr>
            <w:tcW w:type="dxa" w:w="3260"/>
            <w:tcMar>
              <w:top w:w="80" w:type="dxa"/>
              <w:start w:w="120" w:type="dxa"/>
              <w:bottom w:w="80" w:type="dxa"/>
              <w:end w:w="120" w:type="dxa"/>
            </w:tcMar>
            <w:vAlign w:val="center"/>
          </w:tcPr>
          <w:p>
            <w:pPr>
              <w:spacing w:after="0"/>
            </w:pPr>
            <w:r>
              <w:rPr>
                <w:rFonts w:ascii="Calibri" w:hAnsi="Calibri"/>
                <w:b w:val="0"/>
                <w:i w:val="0"/>
                <w:color w:val="172B3A"/>
                <w:sz w:val="16"/>
              </w:rPr>
              <w:t>hydrate_wireline_equation_map; lambda_density_pt_overburden_ranges; property range suite</w:t>
            </w:r>
          </w:p>
        </w:tc>
      </w:tr>
      <w:tr>
        <w:tc>
          <w:tcPr>
            <w:tcW w:type="dxa" w:w="1900"/>
            <w:tcMar>
              <w:top w:w="80" w:type="dxa"/>
              <w:start w:w="120" w:type="dxa"/>
              <w:bottom w:w="80" w:type="dxa"/>
              <w:end w:w="120" w:type="dxa"/>
            </w:tcMar>
            <w:vAlign w:val="center"/>
          </w:tcPr>
          <w:p>
            <w:pPr>
              <w:spacing w:after="0"/>
            </w:pPr>
            <w:r>
              <w:rPr>
                <w:rFonts w:ascii="Calibri" w:hAnsi="Calibri"/>
                <w:b w:val="0"/>
                <w:i w:val="0"/>
                <w:color w:val="172B3A"/>
                <w:sz w:val="16"/>
              </w:rPr>
              <w:t>Geomechanics, productivity, and ML</w:t>
            </w:r>
          </w:p>
        </w:tc>
        <w:tc>
          <w:tcPr>
            <w:tcW w:type="dxa" w:w="4200"/>
            <w:tcMar>
              <w:top w:w="80" w:type="dxa"/>
              <w:start w:w="120" w:type="dxa"/>
              <w:bottom w:w="80" w:type="dxa"/>
              <w:end w:w="120" w:type="dxa"/>
            </w:tcMar>
            <w:vAlign w:val="center"/>
          </w:tcPr>
          <w:p>
            <w:pPr>
              <w:spacing w:after="0"/>
            </w:pPr>
            <w:r>
              <w:rPr>
                <w:rFonts w:ascii="Calibri" w:hAnsi="Calibri"/>
                <w:b w:val="0"/>
                <w:i w:val="0"/>
                <w:color w:val="172B3A"/>
                <w:sz w:val="16"/>
              </w:rPr>
              <w:t>Supports permeability retention, load-bearing hydrate, saturation vs productivity, and model-stage logic.</w:t>
            </w:r>
          </w:p>
        </w:tc>
        <w:tc>
          <w:tcPr>
            <w:tcW w:type="dxa" w:w="3260"/>
            <w:tcMar>
              <w:top w:w="80" w:type="dxa"/>
              <w:start w:w="120" w:type="dxa"/>
              <w:bottom w:w="80" w:type="dxa"/>
              <w:end w:w="120" w:type="dxa"/>
            </w:tcMar>
            <w:vAlign w:val="center"/>
          </w:tcPr>
          <w:p>
            <w:pPr>
              <w:spacing w:after="0"/>
            </w:pPr>
            <w:r>
              <w:rPr>
                <w:rFonts w:ascii="Calibri" w:hAnsi="Calibri"/>
                <w:b w:val="0"/>
                <w:i w:val="0"/>
                <w:color w:val="172B3A"/>
                <w:sz w:val="16"/>
              </w:rPr>
              <w:t>Geomechanical controls; productivity ML framework; final hydrate documents</w:t>
            </w:r>
          </w:p>
        </w:tc>
      </w:tr>
      <w:tr>
        <w:tc>
          <w:tcPr>
            <w:tcW w:type="dxa" w:w="1900"/>
            <w:tcMar>
              <w:top w:w="80" w:type="dxa"/>
              <w:start w:w="120" w:type="dxa"/>
              <w:bottom w:w="80" w:type="dxa"/>
              <w:end w:w="120" w:type="dxa"/>
            </w:tcMar>
            <w:vAlign w:val="center"/>
          </w:tcPr>
          <w:p>
            <w:pPr>
              <w:spacing w:after="0"/>
            </w:pPr>
            <w:r>
              <w:rPr>
                <w:rFonts w:ascii="Calibri" w:hAnsi="Calibri"/>
                <w:b w:val="0"/>
                <w:i w:val="0"/>
                <w:color w:val="172B3A"/>
                <w:sz w:val="16"/>
              </w:rPr>
              <w:t>Maps and public data notes</w:t>
            </w:r>
          </w:p>
        </w:tc>
        <w:tc>
          <w:tcPr>
            <w:tcW w:type="dxa" w:w="4200"/>
            <w:tcMar>
              <w:top w:w="80" w:type="dxa"/>
              <w:start w:w="120" w:type="dxa"/>
              <w:bottom w:w="80" w:type="dxa"/>
              <w:end w:w="120" w:type="dxa"/>
            </w:tcMar>
            <w:vAlign w:val="center"/>
          </w:tcPr>
          <w:p>
            <w:pPr>
              <w:spacing w:after="0"/>
            </w:pPr>
            <w:r>
              <w:rPr>
                <w:rFonts w:ascii="Calibri" w:hAnsi="Calibri"/>
                <w:b w:val="0"/>
                <w:i w:val="0"/>
                <w:color w:val="172B3A"/>
                <w:sz w:val="16"/>
              </w:rPr>
              <w:t>Supports public-source geographic context and atlas figures.</w:t>
            </w:r>
          </w:p>
        </w:tc>
        <w:tc>
          <w:tcPr>
            <w:tcW w:type="dxa" w:w="3260"/>
            <w:tcMar>
              <w:top w:w="80" w:type="dxa"/>
              <w:start w:w="120" w:type="dxa"/>
              <w:bottom w:w="80" w:type="dxa"/>
              <w:end w:w="120" w:type="dxa"/>
            </w:tcMar>
            <w:vAlign w:val="center"/>
          </w:tcPr>
          <w:p>
            <w:pPr>
              <w:spacing w:after="0"/>
            </w:pPr>
            <w:r>
              <w:rPr>
                <w:rFonts w:ascii="Calibri" w:hAnsi="Calibri"/>
                <w:b w:val="0"/>
                <w:i w:val="0"/>
                <w:color w:val="172B3A"/>
                <w:sz w:val="16"/>
              </w:rPr>
              <w:t>North Slope Data Layer Map; public file manifest; directional survey notes</w:t>
            </w:r>
          </w:p>
        </w:tc>
      </w:tr>
    </w:tbl>
    <w:p>
      <w:pPr>
        <w:spacing w:before="0" w:after="20" w:line="283" w:lineRule="auto"/>
      </w:pPr>
      <w:r>
        <w:rPr>
          <w:rFonts w:ascii="Calibri" w:hAnsi="Calibri"/>
          <w:b w:val="0"/>
          <w:i w:val="0"/>
          <w:color w:val="172B3A"/>
          <w:sz w:val="21"/>
        </w:rPr>
      </w:r>
    </w:p>
    <w:p>
      <w:pPr>
        <w:pStyle w:val="Heading1"/>
        <w:keepNext/>
      </w:pPr>
      <w:r>
        <w:t>3. Conceptual Model</w:t>
      </w:r>
    </w:p>
    <w:p>
      <w:pPr>
        <w:spacing w:before="0" w:after="120" w:line="283" w:lineRule="auto"/>
      </w:pPr>
      <w:r>
        <w:rPr>
          <w:rFonts w:ascii="Calibri" w:hAnsi="Calibri"/>
          <w:b w:val="0"/>
          <w:i w:val="0"/>
          <w:color w:val="172B3A"/>
          <w:sz w:val="21"/>
        </w:rPr>
        <w:t>Hydrate should be modeled as a staged outcome rather than a single class. The first stage asks whether hydrate is physically admissible under local pressure-temperature conditions. The second stage asks whether the interval is reservoir-grade. The third stage asks whether multi-log evidence supports hydrate, gas, water, mixed phase, non-reservoir lithology, or expert review. Later stages add charge/localization context and producibility ranking.</w:t>
      </w:r>
    </w:p>
    <w:p>
      <w:pPr>
        <w:pStyle w:val="ListBullet"/>
        <w:spacing w:after="60"/>
      </w:pPr>
      <w:r>
        <w:rPr>
          <w:rFonts w:ascii="Calibri" w:hAnsi="Calibri"/>
          <w:b w:val="0"/>
          <w:i w:val="0"/>
          <w:color w:val="172B3A"/>
          <w:sz w:val="20"/>
        </w:rPr>
        <w:t>Stability is necessary but not sufficient.</w:t>
      </w:r>
    </w:p>
    <w:p>
      <w:pPr>
        <w:pStyle w:val="ListBullet"/>
        <w:spacing w:after="60"/>
      </w:pPr>
      <w:r>
        <w:rPr>
          <w:rFonts w:ascii="Calibri" w:hAnsi="Calibri"/>
          <w:b w:val="0"/>
          <w:i w:val="0"/>
          <w:color w:val="172B3A"/>
          <w:sz w:val="20"/>
        </w:rPr>
        <w:t>Reservoir quality is necessary but not sufficient.</w:t>
      </w:r>
    </w:p>
    <w:p>
      <w:pPr>
        <w:pStyle w:val="ListBullet"/>
        <w:spacing w:after="60"/>
      </w:pPr>
      <w:r>
        <w:rPr>
          <w:rFonts w:ascii="Calibri" w:hAnsi="Calibri"/>
          <w:b w:val="0"/>
          <w:i w:val="0"/>
          <w:color w:val="172B3A"/>
          <w:sz w:val="20"/>
        </w:rPr>
        <w:t>High resistivity is evidence, not a hydrate label.</w:t>
      </w:r>
    </w:p>
    <w:p>
      <w:pPr>
        <w:pStyle w:val="ListBullet"/>
        <w:spacing w:after="60"/>
      </w:pPr>
      <w:r>
        <w:rPr>
          <w:rFonts w:ascii="Calibri" w:hAnsi="Calibri"/>
          <w:b w:val="0"/>
          <w:i w:val="0"/>
          <w:color w:val="172B3A"/>
          <w:sz w:val="20"/>
        </w:rPr>
        <w:t>Good sand with no hydrate is a valid class, not a model failure.</w:t>
      </w:r>
    </w:p>
    <w:p>
      <w:pPr>
        <w:pStyle w:val="ListBullet"/>
        <w:spacing w:after="60"/>
      </w:pPr>
      <w:r>
        <w:rPr>
          <w:rFonts w:ascii="Calibri" w:hAnsi="Calibri"/>
          <w:b w:val="0"/>
          <w:i w:val="0"/>
          <w:color w:val="172B3A"/>
          <w:sz w:val="20"/>
        </w:rPr>
        <w:t>Occurrence, saturation, and producibility must remain separate outputs.</w:t>
      </w:r>
    </w:p>
    <w:p>
      <w:pPr>
        <w:pStyle w:val="Heading1"/>
        <w:keepNext/>
      </w:pPr>
      <w:r>
        <w:t>4. Methods: Runtime Data and Feature Families</w:t>
      </w:r>
    </w:p>
    <w:p>
      <w:pPr>
        <w:spacing w:before="0" w:after="120" w:line="283" w:lineRule="auto"/>
      </w:pPr>
      <w:r>
        <w:rPr>
          <w:rFonts w:ascii="Calibri" w:hAnsi="Calibri"/>
          <w:b w:val="0"/>
          <w:i w:val="0"/>
          <w:color w:val="172B3A"/>
          <w:sz w:val="21"/>
        </w:rPr>
        <w:t>The approved runtime workflow should load LAS or CSV well logs locally inside the authorized environment. Curve aliases should map well-specific mnemonics into stable feature families. The public dashboard can demonstrate the workflow only with synthetic data.</w:t>
      </w:r>
    </w:p>
    <w:tbl>
      <w:tblPr>
        <w:tblStyle w:val="TableGrid"/>
        <w:tblW w:type="auto" w:w="0"/>
        <w:jc w:val="left"/>
        <w:tblLayout w:type="fixed"/>
        <w:tblLook w:firstColumn="1" w:firstRow="1" w:lastColumn="0" w:lastRow="0" w:noHBand="0" w:noVBand="1" w:val="04A0"/>
      </w:tblPr>
      <w:tblGrid>
        <w:gridCol w:w="1700"/>
        <w:gridCol w:w="2500"/>
        <w:gridCol w:w="2800"/>
        <w:gridCol w:w="2360"/>
      </w:tblGrid>
      <w:tr>
        <w:trPr>
          <w:tblHeader w:val="true"/>
        </w:trPr>
        <w:tc>
          <w:tcPr>
            <w:tcW w:type="dxa" w:w="1700"/>
            <w:tcMar>
              <w:top w:w="80" w:type="dxa"/>
              <w:start w:w="120" w:type="dxa"/>
              <w:bottom w:w="80" w:type="dxa"/>
              <w:end w:w="120" w:type="dxa"/>
            </w:tcMar>
            <w:shd w:fill="123447"/>
            <w:vAlign w:val="center"/>
          </w:tcPr>
          <w:p>
            <w:r>
              <w:rPr>
                <w:rFonts w:ascii="Calibri" w:hAnsi="Calibri"/>
                <w:b/>
                <w:i w:val="0"/>
                <w:color w:val="FFFFFF"/>
                <w:sz w:val="15"/>
              </w:rPr>
              <w:t>Feature family</w:t>
            </w:r>
          </w:p>
        </w:tc>
        <w:tc>
          <w:tcPr>
            <w:tcW w:type="dxa" w:w="2500"/>
            <w:tcMar>
              <w:top w:w="80" w:type="dxa"/>
              <w:start w:w="120" w:type="dxa"/>
              <w:bottom w:w="80" w:type="dxa"/>
              <w:end w:w="120" w:type="dxa"/>
            </w:tcMar>
            <w:shd w:fill="123447"/>
            <w:vAlign w:val="center"/>
          </w:tcPr>
          <w:p>
            <w:r>
              <w:rPr>
                <w:rFonts w:ascii="Calibri" w:hAnsi="Calibri"/>
                <w:b/>
                <w:i w:val="0"/>
                <w:color w:val="FFFFFF"/>
                <w:sz w:val="15"/>
              </w:rPr>
              <w:t>Required or optional inputs</w:t>
            </w:r>
          </w:p>
        </w:tc>
        <w:tc>
          <w:tcPr>
            <w:tcW w:type="dxa" w:w="2800"/>
            <w:tcMar>
              <w:top w:w="80" w:type="dxa"/>
              <w:start w:w="120" w:type="dxa"/>
              <w:bottom w:w="80" w:type="dxa"/>
              <w:end w:w="120" w:type="dxa"/>
            </w:tcMar>
            <w:shd w:fill="123447"/>
            <w:vAlign w:val="center"/>
          </w:tcPr>
          <w:p>
            <w:r>
              <w:rPr>
                <w:rFonts w:ascii="Calibri" w:hAnsi="Calibri"/>
                <w:b/>
                <w:i w:val="0"/>
                <w:color w:val="FFFFFF"/>
                <w:sz w:val="15"/>
              </w:rPr>
              <w:t>Research use</w:t>
            </w:r>
          </w:p>
        </w:tc>
        <w:tc>
          <w:tcPr>
            <w:tcW w:type="dxa" w:w="2360"/>
            <w:tcMar>
              <w:top w:w="80" w:type="dxa"/>
              <w:start w:w="120" w:type="dxa"/>
              <w:bottom w:w="80" w:type="dxa"/>
              <w:end w:w="120" w:type="dxa"/>
            </w:tcMar>
            <w:shd w:fill="123447"/>
            <w:vAlign w:val="center"/>
          </w:tcPr>
          <w:p>
            <w:r>
              <w:rPr>
                <w:rFonts w:ascii="Calibri" w:hAnsi="Calibri"/>
                <w:b/>
                <w:i w:val="0"/>
                <w:color w:val="FFFFFF"/>
                <w:sz w:val="15"/>
              </w:rPr>
              <w:t>Failure control</w:t>
            </w:r>
          </w:p>
        </w:tc>
      </w:tr>
      <w:tr>
        <w:tc>
          <w:tcPr>
            <w:tcW w:type="dxa" w:w="1700"/>
            <w:tcMar>
              <w:top w:w="80" w:type="dxa"/>
              <w:start w:w="120" w:type="dxa"/>
              <w:bottom w:w="80" w:type="dxa"/>
              <w:end w:w="120" w:type="dxa"/>
            </w:tcMar>
            <w:vAlign w:val="center"/>
          </w:tcPr>
          <w:p>
            <w:pPr>
              <w:spacing w:after="0"/>
            </w:pPr>
            <w:r>
              <w:rPr>
                <w:rFonts w:ascii="Calibri" w:hAnsi="Calibri"/>
                <w:b w:val="0"/>
                <w:i w:val="0"/>
                <w:color w:val="172B3A"/>
                <w:sz w:val="15"/>
              </w:rPr>
              <w:t>Lithology and reservoir quality</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5"/>
              </w:rPr>
              <w:t>GR, RHOB, porosity, NMR where available</w:t>
            </w:r>
          </w:p>
        </w:tc>
        <w:tc>
          <w:tcPr>
            <w:tcW w:type="dxa" w:w="2800"/>
            <w:tcMar>
              <w:top w:w="80" w:type="dxa"/>
              <w:start w:w="120" w:type="dxa"/>
              <w:bottom w:w="80" w:type="dxa"/>
              <w:end w:w="120" w:type="dxa"/>
            </w:tcMar>
            <w:vAlign w:val="center"/>
          </w:tcPr>
          <w:p>
            <w:pPr>
              <w:spacing w:after="0"/>
            </w:pPr>
            <w:r>
              <w:rPr>
                <w:rFonts w:ascii="Calibri" w:hAnsi="Calibri"/>
                <w:b w:val="0"/>
                <w:i w:val="0"/>
                <w:color w:val="172B3A"/>
                <w:sz w:val="15"/>
              </w:rPr>
              <w:t>Screen clean sand, shale volume, storage capacity, and net-to-gross proxy.</w:t>
            </w:r>
          </w:p>
        </w:tc>
        <w:tc>
          <w:tcPr>
            <w:tcW w:type="dxa" w:w="2360"/>
            <w:tcMar>
              <w:top w:w="80" w:type="dxa"/>
              <w:start w:w="120" w:type="dxa"/>
              <w:bottom w:w="80" w:type="dxa"/>
              <w:end w:w="120" w:type="dxa"/>
            </w:tcMar>
            <w:vAlign w:val="center"/>
          </w:tcPr>
          <w:p>
            <w:pPr>
              <w:spacing w:after="0"/>
            </w:pPr>
            <w:r>
              <w:rPr>
                <w:rFonts w:ascii="Calibri" w:hAnsi="Calibri"/>
                <w:b w:val="0"/>
                <w:i w:val="0"/>
                <w:color w:val="172B3A"/>
                <w:sz w:val="15"/>
              </w:rPr>
              <w:t>Clay-rich, bentonitic, coal/lignite, carbonate, thin-bed, and bad-hole flags.</w:t>
            </w:r>
          </w:p>
        </w:tc>
      </w:tr>
      <w:tr>
        <w:tc>
          <w:tcPr>
            <w:tcW w:type="dxa" w:w="1700"/>
            <w:tcMar>
              <w:top w:w="80" w:type="dxa"/>
              <w:start w:w="120" w:type="dxa"/>
              <w:bottom w:w="80" w:type="dxa"/>
              <w:end w:w="120" w:type="dxa"/>
            </w:tcMar>
            <w:vAlign w:val="center"/>
          </w:tcPr>
          <w:p>
            <w:pPr>
              <w:spacing w:after="0"/>
            </w:pPr>
            <w:r>
              <w:rPr>
                <w:rFonts w:ascii="Calibri" w:hAnsi="Calibri"/>
                <w:b w:val="0"/>
                <w:i w:val="0"/>
                <w:color w:val="172B3A"/>
                <w:sz w:val="15"/>
              </w:rPr>
              <w:t>Electrical and saturation</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5"/>
              </w:rPr>
              <w:t>Rt, porosity, Rw assumption, Archie parameters, NMR-density separation</w:t>
            </w:r>
          </w:p>
        </w:tc>
        <w:tc>
          <w:tcPr>
            <w:tcW w:type="dxa" w:w="2800"/>
            <w:tcMar>
              <w:top w:w="80" w:type="dxa"/>
              <w:start w:w="120" w:type="dxa"/>
              <w:bottom w:w="80" w:type="dxa"/>
              <w:end w:w="120" w:type="dxa"/>
            </w:tcMar>
            <w:vAlign w:val="center"/>
          </w:tcPr>
          <w:p>
            <w:pPr>
              <w:spacing w:after="0"/>
            </w:pPr>
            <w:r>
              <w:rPr>
                <w:rFonts w:ascii="Calibri" w:hAnsi="Calibri"/>
                <w:b w:val="0"/>
                <w:i w:val="0"/>
                <w:color w:val="172B3A"/>
                <w:sz w:val="15"/>
              </w:rPr>
              <w:t>Estimate hydrate-supportive saturation proxies without treating Rt as a direct label.</w:t>
            </w:r>
          </w:p>
        </w:tc>
        <w:tc>
          <w:tcPr>
            <w:tcW w:type="dxa" w:w="2360"/>
            <w:tcMar>
              <w:top w:w="80" w:type="dxa"/>
              <w:start w:w="120" w:type="dxa"/>
              <w:bottom w:w="80" w:type="dxa"/>
              <w:end w:w="120" w:type="dxa"/>
            </w:tcMar>
            <w:vAlign w:val="center"/>
          </w:tcPr>
          <w:p>
            <w:pPr>
              <w:spacing w:after="0"/>
            </w:pPr>
            <w:r>
              <w:rPr>
                <w:rFonts w:ascii="Calibri" w:hAnsi="Calibri"/>
                <w:b w:val="0"/>
                <w:i w:val="0"/>
                <w:color w:val="172B3A"/>
                <w:sz w:val="15"/>
              </w:rPr>
              <w:t>Salinity, gas, low porosity, clay, invasion, and missing-NMR flags.</w:t>
            </w:r>
          </w:p>
        </w:tc>
      </w:tr>
      <w:tr>
        <w:tc>
          <w:tcPr>
            <w:tcW w:type="dxa" w:w="1700"/>
            <w:tcMar>
              <w:top w:w="80" w:type="dxa"/>
              <w:start w:w="120" w:type="dxa"/>
              <w:bottom w:w="80" w:type="dxa"/>
              <w:end w:w="120" w:type="dxa"/>
            </w:tcMar>
            <w:vAlign w:val="center"/>
          </w:tcPr>
          <w:p>
            <w:pPr>
              <w:spacing w:after="0"/>
            </w:pPr>
            <w:r>
              <w:rPr>
                <w:rFonts w:ascii="Calibri" w:hAnsi="Calibri"/>
                <w:b w:val="0"/>
                <w:i w:val="0"/>
                <w:color w:val="172B3A"/>
                <w:sz w:val="15"/>
              </w:rPr>
              <w:t>Elastic discrimination</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5"/>
              </w:rPr>
              <w:t>DT/DTC, DTS, RHOB</w:t>
            </w:r>
          </w:p>
        </w:tc>
        <w:tc>
          <w:tcPr>
            <w:tcW w:type="dxa" w:w="2800"/>
            <w:tcMar>
              <w:top w:w="80" w:type="dxa"/>
              <w:start w:w="120" w:type="dxa"/>
              <w:bottom w:w="80" w:type="dxa"/>
              <w:end w:w="120" w:type="dxa"/>
            </w:tcMar>
            <w:vAlign w:val="center"/>
          </w:tcPr>
          <w:p>
            <w:pPr>
              <w:spacing w:after="0"/>
            </w:pPr>
            <w:r>
              <w:rPr>
                <w:rFonts w:ascii="Calibri" w:hAnsi="Calibri"/>
                <w:b w:val="0"/>
                <w:i w:val="0"/>
                <w:color w:val="172B3A"/>
                <w:sz w:val="15"/>
              </w:rPr>
              <w:t>Compute Vp, Vs, Vp/Vs, impedance, K, G, lambda-rho, and mu-rho.</w:t>
            </w:r>
          </w:p>
        </w:tc>
        <w:tc>
          <w:tcPr>
            <w:tcW w:type="dxa" w:w="2360"/>
            <w:tcMar>
              <w:top w:w="80" w:type="dxa"/>
              <w:start w:w="120" w:type="dxa"/>
              <w:bottom w:w="80" w:type="dxa"/>
              <w:end w:w="120" w:type="dxa"/>
            </w:tcMar>
            <w:vAlign w:val="center"/>
          </w:tcPr>
          <w:p>
            <w:pPr>
              <w:spacing w:after="0"/>
            </w:pPr>
            <w:r>
              <w:rPr>
                <w:rFonts w:ascii="Calibri" w:hAnsi="Calibri"/>
                <w:b w:val="0"/>
                <w:i w:val="0"/>
                <w:color w:val="172B3A"/>
                <w:sz w:val="15"/>
              </w:rPr>
              <w:t>Stress, cementation, competent lithology, ice-bearing sediment, and missing-DTS flags.</w:t>
            </w:r>
          </w:p>
        </w:tc>
      </w:tr>
      <w:tr>
        <w:tc>
          <w:tcPr>
            <w:tcW w:type="dxa" w:w="1700"/>
            <w:tcMar>
              <w:top w:w="80" w:type="dxa"/>
              <w:start w:w="120" w:type="dxa"/>
              <w:bottom w:w="80" w:type="dxa"/>
              <w:end w:w="120" w:type="dxa"/>
            </w:tcMar>
            <w:vAlign w:val="center"/>
          </w:tcPr>
          <w:p>
            <w:pPr>
              <w:spacing w:after="0"/>
            </w:pPr>
            <w:r>
              <w:rPr>
                <w:rFonts w:ascii="Calibri" w:hAnsi="Calibri"/>
                <w:b w:val="0"/>
                <w:i w:val="0"/>
                <w:color w:val="172B3A"/>
                <w:sz w:val="15"/>
              </w:rPr>
              <w:t>Stability context</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5"/>
              </w:rPr>
              <w:t>Depth, pressure, temperature, permafrost/GHSZ assumptions</w:t>
            </w:r>
          </w:p>
        </w:tc>
        <w:tc>
          <w:tcPr>
            <w:tcW w:type="dxa" w:w="2800"/>
            <w:tcMar>
              <w:top w:w="80" w:type="dxa"/>
              <w:start w:w="120" w:type="dxa"/>
              <w:bottom w:w="80" w:type="dxa"/>
              <w:end w:w="120" w:type="dxa"/>
            </w:tcMar>
            <w:vAlign w:val="center"/>
          </w:tcPr>
          <w:p>
            <w:pPr>
              <w:spacing w:after="0"/>
            </w:pPr>
            <w:r>
              <w:rPr>
                <w:rFonts w:ascii="Calibri" w:hAnsi="Calibri"/>
                <w:b w:val="0"/>
                <w:i w:val="0"/>
                <w:color w:val="172B3A"/>
                <w:sz w:val="15"/>
              </w:rPr>
              <w:t>Define hydrate admissibility and distance to stability boundary.</w:t>
            </w:r>
          </w:p>
        </w:tc>
        <w:tc>
          <w:tcPr>
            <w:tcW w:type="dxa" w:w="2360"/>
            <w:tcMar>
              <w:top w:w="80" w:type="dxa"/>
              <w:start w:w="120" w:type="dxa"/>
              <w:bottom w:w="80" w:type="dxa"/>
              <w:end w:w="120" w:type="dxa"/>
            </w:tcMar>
            <w:vAlign w:val="center"/>
          </w:tcPr>
          <w:p>
            <w:pPr>
              <w:spacing w:after="0"/>
            </w:pPr>
            <w:r>
              <w:rPr>
                <w:rFonts w:ascii="Calibri" w:hAnsi="Calibri"/>
                <w:b w:val="0"/>
                <w:i w:val="0"/>
                <w:color w:val="172B3A"/>
                <w:sz w:val="15"/>
              </w:rPr>
              <w:t>Probabilistic screen only; never positive hydrate label.</w:t>
            </w:r>
          </w:p>
        </w:tc>
      </w:tr>
      <w:tr>
        <w:tc>
          <w:tcPr>
            <w:tcW w:type="dxa" w:w="1700"/>
            <w:tcMar>
              <w:top w:w="80" w:type="dxa"/>
              <w:start w:w="120" w:type="dxa"/>
              <w:bottom w:w="80" w:type="dxa"/>
              <w:end w:w="120" w:type="dxa"/>
            </w:tcMar>
            <w:vAlign w:val="center"/>
          </w:tcPr>
          <w:p>
            <w:pPr>
              <w:spacing w:after="0"/>
            </w:pPr>
            <w:r>
              <w:rPr>
                <w:rFonts w:ascii="Calibri" w:hAnsi="Calibri"/>
                <w:b w:val="0"/>
                <w:i w:val="0"/>
                <w:color w:val="172B3A"/>
                <w:sz w:val="15"/>
              </w:rPr>
              <w:t>Core calibration</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5"/>
              </w:rPr>
              <w:t>Approved core depth, pressure-core quality, interpreted phase, porosity, saturation, disturbance</w:t>
            </w:r>
          </w:p>
        </w:tc>
        <w:tc>
          <w:tcPr>
            <w:tcW w:type="dxa" w:w="2800"/>
            <w:tcMar>
              <w:top w:w="80" w:type="dxa"/>
              <w:start w:w="120" w:type="dxa"/>
              <w:bottom w:w="80" w:type="dxa"/>
              <w:end w:w="120" w:type="dxa"/>
            </w:tcMar>
            <w:vAlign w:val="center"/>
          </w:tcPr>
          <w:p>
            <w:pPr>
              <w:spacing w:after="0"/>
            </w:pPr>
            <w:r>
              <w:rPr>
                <w:rFonts w:ascii="Calibri" w:hAnsi="Calibri"/>
                <w:b w:val="0"/>
                <w:i w:val="0"/>
                <w:color w:val="172B3A"/>
                <w:sz w:val="15"/>
              </w:rPr>
              <w:t>Attach confidence weights and depth-match uncertainty windows.</w:t>
            </w:r>
          </w:p>
        </w:tc>
        <w:tc>
          <w:tcPr>
            <w:tcW w:type="dxa" w:w="2360"/>
            <w:tcMar>
              <w:top w:w="80" w:type="dxa"/>
              <w:start w:w="120" w:type="dxa"/>
              <w:bottom w:w="80" w:type="dxa"/>
              <w:end w:w="120" w:type="dxa"/>
            </w:tcMar>
            <w:vAlign w:val="center"/>
          </w:tcPr>
          <w:p>
            <w:pPr>
              <w:spacing w:after="0"/>
            </w:pPr>
            <w:r>
              <w:rPr>
                <w:rFonts w:ascii="Calibri" w:hAnsi="Calibri"/>
                <w:b w:val="0"/>
                <w:i w:val="0"/>
                <w:color w:val="172B3A"/>
                <w:sz w:val="15"/>
              </w:rPr>
              <w:t>Core disturbance, pressure loss, depth mismatch, and missing interval flags.</w:t>
            </w:r>
          </w:p>
        </w:tc>
      </w:tr>
      <w:tr>
        <w:tc>
          <w:tcPr>
            <w:tcW w:type="dxa" w:w="1700"/>
            <w:tcMar>
              <w:top w:w="80" w:type="dxa"/>
              <w:start w:w="120" w:type="dxa"/>
              <w:bottom w:w="80" w:type="dxa"/>
              <w:end w:w="120" w:type="dxa"/>
            </w:tcMar>
            <w:vAlign w:val="center"/>
          </w:tcPr>
          <w:p>
            <w:pPr>
              <w:spacing w:after="0"/>
            </w:pPr>
            <w:r>
              <w:rPr>
                <w:rFonts w:ascii="Calibri" w:hAnsi="Calibri"/>
                <w:b w:val="0"/>
                <w:i w:val="0"/>
                <w:color w:val="172B3A"/>
                <w:sz w:val="15"/>
              </w:rPr>
              <w:t>Producibility</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5"/>
              </w:rPr>
              <w:t>Saturation proxy, porosity, Vsh, stress, permeability proxy, continuity</w:t>
            </w:r>
          </w:p>
        </w:tc>
        <w:tc>
          <w:tcPr>
            <w:tcW w:type="dxa" w:w="2800"/>
            <w:tcMar>
              <w:top w:w="80" w:type="dxa"/>
              <w:start w:w="120" w:type="dxa"/>
              <w:bottom w:w="80" w:type="dxa"/>
              <w:end w:w="120" w:type="dxa"/>
            </w:tcMar>
            <w:vAlign w:val="center"/>
          </w:tcPr>
          <w:p>
            <w:pPr>
              <w:spacing w:after="0"/>
            </w:pPr>
            <w:r>
              <w:rPr>
                <w:rFonts w:ascii="Calibri" w:hAnsi="Calibri"/>
                <w:b w:val="0"/>
                <w:i w:val="0"/>
                <w:color w:val="172B3A"/>
                <w:sz w:val="15"/>
              </w:rPr>
              <w:t>Rank retained flow and practical target quality separately from occurrence.</w:t>
            </w:r>
          </w:p>
        </w:tc>
        <w:tc>
          <w:tcPr>
            <w:tcW w:type="dxa" w:w="2360"/>
            <w:tcMar>
              <w:top w:w="80" w:type="dxa"/>
              <w:start w:w="120" w:type="dxa"/>
              <w:bottom w:w="80" w:type="dxa"/>
              <w:end w:w="120" w:type="dxa"/>
            </w:tcMar>
            <w:vAlign w:val="center"/>
          </w:tcPr>
          <w:p>
            <w:pPr>
              <w:spacing w:after="0"/>
            </w:pPr>
            <w:r>
              <w:rPr>
                <w:rFonts w:ascii="Calibri" w:hAnsi="Calibri"/>
                <w:b w:val="0"/>
                <w:i w:val="0"/>
                <w:color w:val="172B3A"/>
                <w:sz w:val="15"/>
              </w:rPr>
              <w:t>High saturation can reduce permeability and pressure communication.</w:t>
            </w:r>
          </w:p>
        </w:tc>
      </w:tr>
    </w:tbl>
    <w:p>
      <w:pPr>
        <w:spacing w:before="0" w:after="20" w:line="283" w:lineRule="auto"/>
      </w:pPr>
      <w:r>
        <w:rPr>
          <w:rFonts w:ascii="Calibri" w:hAnsi="Calibri"/>
          <w:b w:val="0"/>
          <w:i w:val="0"/>
          <w:color w:val="172B3A"/>
          <w:sz w:val="21"/>
        </w:rPr>
      </w:r>
    </w:p>
    <w:p>
      <w:pPr>
        <w:pStyle w:val="Heading1"/>
        <w:keepNext/>
      </w:pPr>
      <w:r>
        <w:t>5. Equation Catalog for the Scaffold</w:t>
      </w:r>
    </w:p>
    <w:p>
      <w:pPr>
        <w:spacing w:before="0" w:after="120" w:line="283" w:lineRule="auto"/>
      </w:pPr>
      <w:r>
        <w:rPr>
          <w:rFonts w:ascii="Calibri" w:hAnsi="Calibri"/>
          <w:b w:val="0"/>
          <w:i w:val="0"/>
          <w:color w:val="172B3A"/>
          <w:sz w:val="21"/>
        </w:rPr>
        <w:t>The following equations are implementation scaffolds derived from the manuscript equation catalogs and wireline source notes. They should be calibrated to approved local units, tool conventions, core observations, and mentor-approved assumptions before operational use.</w:t>
      </w:r>
    </w:p>
    <w:tbl>
      <w:tblPr>
        <w:tblStyle w:val="TableGrid"/>
        <w:tblW w:type="auto" w:w="0"/>
        <w:jc w:val="left"/>
        <w:tblLayout w:type="fixed"/>
        <w:tblLook w:firstColumn="1" w:firstRow="1" w:lastColumn="0" w:lastRow="0" w:noHBand="0" w:noVBand="1" w:val="04A0"/>
      </w:tblPr>
      <w:tblGrid>
        <w:gridCol w:w="520"/>
        <w:gridCol w:w="1500"/>
        <w:gridCol w:w="2500"/>
        <w:gridCol w:w="2850"/>
        <w:gridCol w:w="1990"/>
      </w:tblGrid>
      <w:tr>
        <w:trPr>
          <w:tblHeader w:val="true"/>
        </w:trPr>
        <w:tc>
          <w:tcPr>
            <w:tcW w:type="dxa" w:w="520"/>
            <w:tcMar>
              <w:top w:w="80" w:type="dxa"/>
              <w:start w:w="120" w:type="dxa"/>
              <w:bottom w:w="80" w:type="dxa"/>
              <w:end w:w="120" w:type="dxa"/>
            </w:tcMar>
            <w:shd w:fill="123447"/>
            <w:vAlign w:val="center"/>
          </w:tcPr>
          <w:p>
            <w:r>
              <w:rPr>
                <w:rFonts w:ascii="Calibri" w:hAnsi="Calibri"/>
                <w:b/>
                <w:i w:val="0"/>
                <w:color w:val="FFFFFF"/>
                <w:sz w:val="14"/>
              </w:rPr>
              <w:t>ID</w:t>
            </w:r>
          </w:p>
        </w:tc>
        <w:tc>
          <w:tcPr>
            <w:tcW w:type="dxa" w:w="1500"/>
            <w:tcMar>
              <w:top w:w="80" w:type="dxa"/>
              <w:start w:w="120" w:type="dxa"/>
              <w:bottom w:w="80" w:type="dxa"/>
              <w:end w:w="120" w:type="dxa"/>
            </w:tcMar>
            <w:shd w:fill="123447"/>
            <w:vAlign w:val="center"/>
          </w:tcPr>
          <w:p>
            <w:r>
              <w:rPr>
                <w:rFonts w:ascii="Calibri" w:hAnsi="Calibri"/>
                <w:b/>
                <w:i w:val="0"/>
                <w:color w:val="FFFFFF"/>
                <w:sz w:val="14"/>
              </w:rPr>
              <w:t>Equation</w:t>
            </w:r>
          </w:p>
        </w:tc>
        <w:tc>
          <w:tcPr>
            <w:tcW w:type="dxa" w:w="2500"/>
            <w:tcMar>
              <w:top w:w="80" w:type="dxa"/>
              <w:start w:w="120" w:type="dxa"/>
              <w:bottom w:w="80" w:type="dxa"/>
              <w:end w:w="120" w:type="dxa"/>
            </w:tcMar>
            <w:shd w:fill="123447"/>
            <w:vAlign w:val="center"/>
          </w:tcPr>
          <w:p>
            <w:r>
              <w:rPr>
                <w:rFonts w:ascii="Calibri" w:hAnsi="Calibri"/>
                <w:b/>
                <w:i w:val="0"/>
                <w:color w:val="FFFFFF"/>
                <w:sz w:val="14"/>
              </w:rPr>
              <w:t>Form</w:t>
            </w:r>
          </w:p>
        </w:tc>
        <w:tc>
          <w:tcPr>
            <w:tcW w:type="dxa" w:w="2850"/>
            <w:tcMar>
              <w:top w:w="80" w:type="dxa"/>
              <w:start w:w="120" w:type="dxa"/>
              <w:bottom w:w="80" w:type="dxa"/>
              <w:end w:w="120" w:type="dxa"/>
            </w:tcMar>
            <w:shd w:fill="123447"/>
            <w:vAlign w:val="center"/>
          </w:tcPr>
          <w:p>
            <w:r>
              <w:rPr>
                <w:rFonts w:ascii="Calibri" w:hAnsi="Calibri"/>
                <w:b/>
                <w:i w:val="0"/>
                <w:color w:val="FFFFFF"/>
                <w:sz w:val="14"/>
              </w:rPr>
              <w:t>Use</w:t>
            </w:r>
          </w:p>
        </w:tc>
        <w:tc>
          <w:tcPr>
            <w:tcW w:type="dxa" w:w="1990"/>
            <w:tcMar>
              <w:top w:w="80" w:type="dxa"/>
              <w:start w:w="120" w:type="dxa"/>
              <w:bottom w:w="80" w:type="dxa"/>
              <w:end w:w="120" w:type="dxa"/>
            </w:tcMar>
            <w:shd w:fill="123447"/>
            <w:vAlign w:val="center"/>
          </w:tcPr>
          <w:p>
            <w:r>
              <w:rPr>
                <w:rFonts w:ascii="Calibri" w:hAnsi="Calibri"/>
                <w:b/>
                <w:i w:val="0"/>
                <w:color w:val="FFFFFF"/>
                <w:sz w:val="14"/>
              </w:rPr>
              <w:t>Manuscript/source anchor</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Compressional velocity</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Vp = 1 / DT</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Convert sonic slowness to velocity; include unit conversion when DT is in us/ft.</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7.A4, 8.A3, B.1</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E2</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Shear velocity</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Vs = 1 / DTS</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Convert shear slowness to velocity; missing DTS routes to reduced evidence.</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7.A4, 12.A7, B.1</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E3</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Acoustic impedance</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AI = rho_b * Vp</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Elastic evidence and BSR/log translation.</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7.A1, 7.A4</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E4</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Shear impedance</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SI = rho_b * Vs</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Frame rigidity and hydrate/gas discrimination.</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7.A4, 12.A7</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E5</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Shear modulus</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G = rho_b * Vs^2</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Hydrate-supportive rigidity feature.</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7.A4, A.2, B.1</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E6</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Bulk modulus</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K = rho_b * (Vp^2 - 4Vs^2/3)</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Compressibility-sensitive phase feature.</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7.A4, A.2, B.1</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E7</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Lame lambda</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lambda = K - 2G/3</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Fluid/compressibility axis for lambda-rho crossplots.</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7.A3, A.3</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E8</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Lambda-rho</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lambda_rho = lambda * rho_b</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Crossplot feature for hydrate, gas, water, and lithology separation.</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7.A3, A.2, A.3</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E9</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Mu-rho</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mu_rho = G * rho_b</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Shear-rigidity feature; hydrate tends toward higher values when DTS is reliable.</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7.A3, A.2, A.3</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E10</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Density porosity</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phi_D = (rho_ma - rho_b) / (rho_ma - rho_f)</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Storage capacity and saturation input.</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8.A7, 12.A6, B.1</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E11</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Gamma-ray shale volume</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Vsh = (GR - GR_clean) / (GR_shale - GR_clean)</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Reservoir-quality filter before phase interpretation.</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8.A7, 12.A6</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E12</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Archie water saturation</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Sw = (a * Rw / (phi^m * Rt))^(1/n)</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Electrical saturation cross-check.</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8.A6, 12.A5, B.1</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E13</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Archie hydrate saturation</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Sh_Archie = 1 - Sw</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Supplementary hydrate-saturation proxy with uncertainty flags.</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8.A6, 12.A5</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E14</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NMR-density saturation</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Sh_NMRDEN = (phi_D - phi_NMR) / phi_D</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Preferred mobile-fluid-deficit proxy where NMR exists.</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8.A7, 12.A6</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E15</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Temperature profile</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T(z) = T0 + G_T * z</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First-pass local stability context.</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6.A1, A.4</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E16</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Hydrostatic pressure profile</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P(z) = P0 + 0.009795 * z_MPa_per_m</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First-pass pressure context; use local pressure where available.</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6.A1, A.4</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E17</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Effective stress</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sigma_eff = sigma_v - alpha * Pp</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Stress correction for velocity and stiffness interpretation.</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9.A1, 12.A8, B.1</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E18</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Permeability retention proxy</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k_eff = k0 * (1 - Sh)^n</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Producibility penalty as hydrate occupies pore space.</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10.A3, 10.A13, 12.A10</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4"/>
              </w:rPr>
              <w:t>E19</w:t>
            </w:r>
          </w:p>
        </w:tc>
        <w:tc>
          <w:tcPr>
            <w:tcW w:type="dxa" w:w="1500"/>
            <w:tcMar>
              <w:top w:w="80" w:type="dxa"/>
              <w:start w:w="120" w:type="dxa"/>
              <w:bottom w:w="80" w:type="dxa"/>
              <w:end w:w="120" w:type="dxa"/>
            </w:tcMar>
            <w:vAlign w:val="center"/>
          </w:tcPr>
          <w:p>
            <w:pPr>
              <w:spacing w:after="0"/>
            </w:pPr>
            <w:r>
              <w:rPr>
                <w:rFonts w:ascii="Calibri" w:hAnsi="Calibri"/>
                <w:b w:val="0"/>
                <w:i w:val="0"/>
                <w:color w:val="172B3A"/>
                <w:sz w:val="14"/>
              </w:rPr>
              <w:t>Volumetric resource screen</w:t>
            </w:r>
          </w:p>
        </w:tc>
        <w:tc>
          <w:tcPr>
            <w:tcW w:type="dxa" w:w="2500"/>
            <w:tcMar>
              <w:top w:w="80" w:type="dxa"/>
              <w:start w:w="120" w:type="dxa"/>
              <w:bottom w:w="80" w:type="dxa"/>
              <w:end w:w="120" w:type="dxa"/>
            </w:tcMar>
            <w:vAlign w:val="center"/>
          </w:tcPr>
          <w:p>
            <w:pPr>
              <w:spacing w:after="0"/>
            </w:pPr>
            <w:r>
              <w:rPr>
                <w:rFonts w:ascii="Calibri" w:hAnsi="Calibri"/>
                <w:b w:val="0"/>
                <w:i w:val="0"/>
                <w:color w:val="172B3A"/>
                <w:sz w:val="14"/>
              </w:rPr>
              <w:t>GIP = GRV * N/G * phi * Sh * E_gas * C_occ</w:t>
            </w:r>
          </w:p>
        </w:tc>
        <w:tc>
          <w:tcPr>
            <w:tcW w:type="dxa" w:w="2850"/>
            <w:tcMar>
              <w:top w:w="80" w:type="dxa"/>
              <w:start w:w="120" w:type="dxa"/>
              <w:bottom w:w="80" w:type="dxa"/>
              <w:end w:w="120" w:type="dxa"/>
            </w:tcMar>
            <w:vAlign w:val="center"/>
          </w:tcPr>
          <w:p>
            <w:pPr>
              <w:spacing w:after="0"/>
            </w:pPr>
            <w:r>
              <w:rPr>
                <w:rFonts w:ascii="Calibri" w:hAnsi="Calibri"/>
                <w:b w:val="0"/>
                <w:i w:val="0"/>
                <w:color w:val="172B3A"/>
                <w:sz w:val="14"/>
              </w:rPr>
              <w:t>Planning-level in-place resource screen, not recoverability.</w:t>
            </w:r>
          </w:p>
        </w:tc>
        <w:tc>
          <w:tcPr>
            <w:tcW w:type="dxa" w:w="1990"/>
            <w:tcMar>
              <w:top w:w="80" w:type="dxa"/>
              <w:start w:w="120" w:type="dxa"/>
              <w:bottom w:w="80" w:type="dxa"/>
              <w:end w:w="120" w:type="dxa"/>
            </w:tcMar>
            <w:vAlign w:val="center"/>
          </w:tcPr>
          <w:p>
            <w:pPr>
              <w:spacing w:after="0"/>
            </w:pPr>
            <w:r>
              <w:rPr>
                <w:rFonts w:ascii="Calibri" w:hAnsi="Calibri"/>
                <w:b w:val="0"/>
                <w:i w:val="0"/>
                <w:color w:val="172B3A"/>
                <w:sz w:val="14"/>
              </w:rPr>
              <w:t>Tables 10.A2, B.1</w:t>
            </w:r>
          </w:p>
        </w:tc>
      </w:tr>
    </w:tbl>
    <w:p>
      <w:pPr>
        <w:spacing w:before="0" w:after="20" w:line="283" w:lineRule="auto"/>
      </w:pPr>
      <w:r>
        <w:rPr>
          <w:rFonts w:ascii="Calibri" w:hAnsi="Calibri"/>
          <w:b w:val="0"/>
          <w:i w:val="0"/>
          <w:color w:val="172B3A"/>
          <w:sz w:val="21"/>
        </w:rPr>
      </w:r>
    </w:p>
    <w:p>
      <w:pPr>
        <w:pStyle w:val="Heading1"/>
        <w:keepNext/>
      </w:pPr>
      <w:r>
        <w:t>6. Variable Range Interpretation</w:t>
      </w:r>
    </w:p>
    <w:p>
      <w:pPr>
        <w:spacing w:before="0" w:after="120" w:line="283" w:lineRule="auto"/>
      </w:pPr>
      <w:r>
        <w:rPr>
          <w:rFonts w:ascii="Calibri" w:hAnsi="Calibri"/>
          <w:b w:val="0"/>
          <w:i w:val="0"/>
          <w:color w:val="172B3A"/>
          <w:sz w:val="21"/>
        </w:rPr>
        <w:t>Ranges are screening tendencies and end-member anchors, not universal thresholds. Each range should be displayed in the dashboard with competing explanations and required supporting evidence.</w:t>
      </w:r>
    </w:p>
    <w:tbl>
      <w:tblPr>
        <w:tblStyle w:val="TableGrid"/>
        <w:tblW w:type="auto" w:w="0"/>
        <w:jc w:val="left"/>
        <w:tblLayout w:type="fixed"/>
        <w:tblLook w:firstColumn="1" w:firstRow="1" w:lastColumn="0" w:lastRow="0" w:noHBand="0" w:noVBand="1" w:val="04A0"/>
      </w:tblPr>
      <w:tblGrid>
        <w:gridCol w:w="1300"/>
        <w:gridCol w:w="2200"/>
        <w:gridCol w:w="3000"/>
        <w:gridCol w:w="2860"/>
      </w:tblGrid>
      <w:tr>
        <w:trPr>
          <w:tblHeader w:val="true"/>
        </w:trPr>
        <w:tc>
          <w:tcPr>
            <w:tcW w:type="dxa" w:w="1300"/>
            <w:tcMar>
              <w:top w:w="80" w:type="dxa"/>
              <w:start w:w="120" w:type="dxa"/>
              <w:bottom w:w="80" w:type="dxa"/>
              <w:end w:w="120" w:type="dxa"/>
            </w:tcMar>
            <w:shd w:fill="123447"/>
            <w:vAlign w:val="center"/>
          </w:tcPr>
          <w:p>
            <w:r>
              <w:rPr>
                <w:rFonts w:ascii="Calibri" w:hAnsi="Calibri"/>
                <w:b/>
                <w:i w:val="0"/>
                <w:color w:val="FFFFFF"/>
                <w:sz w:val="15"/>
              </w:rPr>
              <w:t>Variable</w:t>
            </w:r>
          </w:p>
        </w:tc>
        <w:tc>
          <w:tcPr>
            <w:tcW w:type="dxa" w:w="2200"/>
            <w:tcMar>
              <w:top w:w="80" w:type="dxa"/>
              <w:start w:w="120" w:type="dxa"/>
              <w:bottom w:w="80" w:type="dxa"/>
              <w:end w:w="120" w:type="dxa"/>
            </w:tcMar>
            <w:shd w:fill="123447"/>
            <w:vAlign w:val="center"/>
          </w:tcPr>
          <w:p>
            <w:r>
              <w:rPr>
                <w:rFonts w:ascii="Calibri" w:hAnsi="Calibri"/>
                <w:b/>
                <w:i w:val="0"/>
                <w:color w:val="FFFFFF"/>
                <w:sz w:val="15"/>
              </w:rPr>
              <w:t>Working tendency</w:t>
            </w:r>
          </w:p>
        </w:tc>
        <w:tc>
          <w:tcPr>
            <w:tcW w:type="dxa" w:w="3000"/>
            <w:tcMar>
              <w:top w:w="80" w:type="dxa"/>
              <w:start w:w="120" w:type="dxa"/>
              <w:bottom w:w="80" w:type="dxa"/>
              <w:end w:w="120" w:type="dxa"/>
            </w:tcMar>
            <w:shd w:fill="123447"/>
            <w:vAlign w:val="center"/>
          </w:tcPr>
          <w:p>
            <w:r>
              <w:rPr>
                <w:rFonts w:ascii="Calibri" w:hAnsi="Calibri"/>
                <w:b/>
                <w:i w:val="0"/>
                <w:color w:val="FFFFFF"/>
                <w:sz w:val="15"/>
              </w:rPr>
              <w:t>Why it matters</w:t>
            </w:r>
          </w:p>
        </w:tc>
        <w:tc>
          <w:tcPr>
            <w:tcW w:type="dxa" w:w="2860"/>
            <w:tcMar>
              <w:top w:w="80" w:type="dxa"/>
              <w:start w:w="120" w:type="dxa"/>
              <w:bottom w:w="80" w:type="dxa"/>
              <w:end w:w="120" w:type="dxa"/>
            </w:tcMar>
            <w:shd w:fill="123447"/>
            <w:vAlign w:val="center"/>
          </w:tcPr>
          <w:p>
            <w:r>
              <w:rPr>
                <w:rFonts w:ascii="Calibri" w:hAnsi="Calibri"/>
                <w:b/>
                <w:i w:val="0"/>
                <w:color w:val="FFFFFF"/>
                <w:sz w:val="15"/>
              </w:rPr>
              <w:t>Competing explanations and required evidence</w:t>
            </w:r>
          </w:p>
        </w:tc>
      </w:tr>
      <w:tr>
        <w:tc>
          <w:tcPr>
            <w:tcW w:type="dxa" w:w="1300"/>
            <w:tcMar>
              <w:top w:w="80" w:type="dxa"/>
              <w:start w:w="120" w:type="dxa"/>
              <w:bottom w:w="80" w:type="dxa"/>
              <w:end w:w="120" w:type="dxa"/>
            </w:tcMar>
            <w:vAlign w:val="center"/>
          </w:tcPr>
          <w:p>
            <w:pPr>
              <w:spacing w:after="0"/>
            </w:pPr>
            <w:r>
              <w:rPr>
                <w:rFonts w:ascii="Calibri" w:hAnsi="Calibri"/>
                <w:b w:val="0"/>
                <w:i w:val="0"/>
                <w:color w:val="172B3A"/>
                <w:sz w:val="15"/>
              </w:rPr>
              <w:t>GR</w:t>
            </w:r>
          </w:p>
        </w:tc>
        <w:tc>
          <w:tcPr>
            <w:tcW w:type="dxa" w:w="2200"/>
            <w:tcMar>
              <w:top w:w="80" w:type="dxa"/>
              <w:start w:w="120" w:type="dxa"/>
              <w:bottom w:w="80" w:type="dxa"/>
              <w:end w:w="120" w:type="dxa"/>
            </w:tcMar>
            <w:vAlign w:val="center"/>
          </w:tcPr>
          <w:p>
            <w:pPr>
              <w:spacing w:after="0"/>
            </w:pPr>
            <w:r>
              <w:rPr>
                <w:rFonts w:ascii="Calibri" w:hAnsi="Calibri"/>
                <w:b w:val="0"/>
                <w:i w:val="0"/>
                <w:color w:val="172B3A"/>
                <w:sz w:val="15"/>
              </w:rPr>
              <w:t>Lower GR</w:t>
            </w:r>
          </w:p>
        </w:tc>
        <w:tc>
          <w:tcPr>
            <w:tcW w:type="dxa" w:w="3000"/>
            <w:tcMar>
              <w:top w:w="80" w:type="dxa"/>
              <w:start w:w="120" w:type="dxa"/>
              <w:bottom w:w="80" w:type="dxa"/>
              <w:end w:w="120" w:type="dxa"/>
            </w:tcMar>
            <w:vAlign w:val="center"/>
          </w:tcPr>
          <w:p>
            <w:pPr>
              <w:spacing w:after="0"/>
            </w:pPr>
            <w:r>
              <w:rPr>
                <w:rFonts w:ascii="Calibri" w:hAnsi="Calibri"/>
                <w:b w:val="0"/>
                <w:i w:val="0"/>
                <w:color w:val="172B3A"/>
                <w:sz w:val="15"/>
              </w:rPr>
              <w:t>Cleaner sand/reservoir-quality screen</w:t>
            </w:r>
          </w:p>
        </w:tc>
        <w:tc>
          <w:tcPr>
            <w:tcW w:type="dxa" w:w="2860"/>
            <w:tcMar>
              <w:top w:w="80" w:type="dxa"/>
              <w:start w:w="120" w:type="dxa"/>
              <w:bottom w:w="80" w:type="dxa"/>
              <w:end w:w="120" w:type="dxa"/>
            </w:tcMar>
            <w:vAlign w:val="center"/>
          </w:tcPr>
          <w:p>
            <w:pPr>
              <w:spacing w:after="0"/>
            </w:pPr>
            <w:r>
              <w:rPr>
                <w:rFonts w:ascii="Calibri" w:hAnsi="Calibri"/>
                <w:b w:val="0"/>
                <w:i w:val="0"/>
                <w:color w:val="172B3A"/>
                <w:sz w:val="15"/>
              </w:rPr>
              <w:t>Radioactive sand, coal, local facies, bentonite; require RHOB/porosity and depositional context</w:t>
            </w:r>
          </w:p>
        </w:tc>
      </w:tr>
      <w:tr>
        <w:tc>
          <w:tcPr>
            <w:tcW w:type="dxa" w:w="1300"/>
            <w:tcMar>
              <w:top w:w="80" w:type="dxa"/>
              <w:start w:w="120" w:type="dxa"/>
              <w:bottom w:w="80" w:type="dxa"/>
              <w:end w:w="120" w:type="dxa"/>
            </w:tcMar>
            <w:vAlign w:val="center"/>
          </w:tcPr>
          <w:p>
            <w:pPr>
              <w:spacing w:after="0"/>
            </w:pPr>
            <w:r>
              <w:rPr>
                <w:rFonts w:ascii="Calibri" w:hAnsi="Calibri"/>
                <w:b w:val="0"/>
                <w:i w:val="0"/>
                <w:color w:val="172B3A"/>
                <w:sz w:val="15"/>
              </w:rPr>
              <w:t>Rt</w:t>
            </w:r>
          </w:p>
        </w:tc>
        <w:tc>
          <w:tcPr>
            <w:tcW w:type="dxa" w:w="2200"/>
            <w:tcMar>
              <w:top w:w="80" w:type="dxa"/>
              <w:start w:w="120" w:type="dxa"/>
              <w:bottom w:w="80" w:type="dxa"/>
              <w:end w:w="120" w:type="dxa"/>
            </w:tcMar>
            <w:vAlign w:val="center"/>
          </w:tcPr>
          <w:p>
            <w:pPr>
              <w:spacing w:after="0"/>
            </w:pPr>
            <w:r>
              <w:rPr>
                <w:rFonts w:ascii="Calibri" w:hAnsi="Calibri"/>
                <w:b w:val="0"/>
                <w:i w:val="0"/>
                <w:color w:val="172B3A"/>
                <w:sz w:val="15"/>
              </w:rPr>
              <w:t>Hydrate-supportive sands may show high Rt</w:t>
            </w:r>
          </w:p>
        </w:tc>
        <w:tc>
          <w:tcPr>
            <w:tcW w:type="dxa" w:w="3000"/>
            <w:tcMar>
              <w:top w:w="80" w:type="dxa"/>
              <w:start w:w="120" w:type="dxa"/>
              <w:bottom w:w="80" w:type="dxa"/>
              <w:end w:w="120" w:type="dxa"/>
            </w:tcMar>
            <w:vAlign w:val="center"/>
          </w:tcPr>
          <w:p>
            <w:pPr>
              <w:spacing w:after="0"/>
            </w:pPr>
            <w:r>
              <w:rPr>
                <w:rFonts w:ascii="Calibri" w:hAnsi="Calibri"/>
                <w:b w:val="0"/>
                <w:i w:val="0"/>
                <w:color w:val="172B3A"/>
                <w:sz w:val="15"/>
              </w:rPr>
              <w:t>Reduced conductive water pathways</w:t>
            </w:r>
          </w:p>
        </w:tc>
        <w:tc>
          <w:tcPr>
            <w:tcW w:type="dxa" w:w="2860"/>
            <w:tcMar>
              <w:top w:w="80" w:type="dxa"/>
              <w:start w:w="120" w:type="dxa"/>
              <w:bottom w:w="80" w:type="dxa"/>
              <w:end w:w="120" w:type="dxa"/>
            </w:tcMar>
            <w:vAlign w:val="center"/>
          </w:tcPr>
          <w:p>
            <w:pPr>
              <w:spacing w:after="0"/>
            </w:pPr>
            <w:r>
              <w:rPr>
                <w:rFonts w:ascii="Calibri" w:hAnsi="Calibri"/>
                <w:b w:val="0"/>
                <w:i w:val="0"/>
                <w:color w:val="172B3A"/>
                <w:sz w:val="15"/>
              </w:rPr>
              <w:t>Gas, low porosity, carbonate, coal, ice, clay; require sonic/NMR/lithology agreement</w:t>
            </w:r>
          </w:p>
        </w:tc>
      </w:tr>
      <w:tr>
        <w:tc>
          <w:tcPr>
            <w:tcW w:type="dxa" w:w="1300"/>
            <w:tcMar>
              <w:top w:w="80" w:type="dxa"/>
              <w:start w:w="120" w:type="dxa"/>
              <w:bottom w:w="80" w:type="dxa"/>
              <w:end w:w="120" w:type="dxa"/>
            </w:tcMar>
            <w:vAlign w:val="center"/>
          </w:tcPr>
          <w:p>
            <w:pPr>
              <w:spacing w:after="0"/>
            </w:pPr>
            <w:r>
              <w:rPr>
                <w:rFonts w:ascii="Calibri" w:hAnsi="Calibri"/>
                <w:b w:val="0"/>
                <w:i w:val="0"/>
                <w:color w:val="172B3A"/>
                <w:sz w:val="15"/>
              </w:rPr>
              <w:t>RHOB</w:t>
            </w:r>
          </w:p>
        </w:tc>
        <w:tc>
          <w:tcPr>
            <w:tcW w:type="dxa" w:w="2200"/>
            <w:tcMar>
              <w:top w:w="80" w:type="dxa"/>
              <w:start w:w="120" w:type="dxa"/>
              <w:bottom w:w="80" w:type="dxa"/>
              <w:end w:w="120" w:type="dxa"/>
            </w:tcMar>
            <w:vAlign w:val="center"/>
          </w:tcPr>
          <w:p>
            <w:pPr>
              <w:spacing w:after="0"/>
            </w:pPr>
            <w:r>
              <w:rPr>
                <w:rFonts w:ascii="Calibri" w:hAnsi="Calibri"/>
                <w:b w:val="0"/>
                <w:i w:val="0"/>
                <w:color w:val="172B3A"/>
                <w:sz w:val="15"/>
              </w:rPr>
              <w:t>Moderate density reduction may support porosity/storage</w:t>
            </w:r>
          </w:p>
        </w:tc>
        <w:tc>
          <w:tcPr>
            <w:tcW w:type="dxa" w:w="3000"/>
            <w:tcMar>
              <w:top w:w="80" w:type="dxa"/>
              <w:start w:w="120" w:type="dxa"/>
              <w:bottom w:w="80" w:type="dxa"/>
              <w:end w:w="120" w:type="dxa"/>
            </w:tcMar>
            <w:vAlign w:val="center"/>
          </w:tcPr>
          <w:p>
            <w:pPr>
              <w:spacing w:after="0"/>
            </w:pPr>
            <w:r>
              <w:rPr>
                <w:rFonts w:ascii="Calibri" w:hAnsi="Calibri"/>
                <w:b w:val="0"/>
                <w:i w:val="0"/>
                <w:color w:val="172B3A"/>
                <w:sz w:val="15"/>
              </w:rPr>
              <w:t>Density porosity and possible hydrate occupancy</w:t>
            </w:r>
          </w:p>
        </w:tc>
        <w:tc>
          <w:tcPr>
            <w:tcW w:type="dxa" w:w="2860"/>
            <w:tcMar>
              <w:top w:w="80" w:type="dxa"/>
              <w:start w:w="120" w:type="dxa"/>
              <w:bottom w:w="80" w:type="dxa"/>
              <w:end w:w="120" w:type="dxa"/>
            </w:tcMar>
            <w:vAlign w:val="center"/>
          </w:tcPr>
          <w:p>
            <w:pPr>
              <w:spacing w:after="0"/>
            </w:pPr>
            <w:r>
              <w:rPr>
                <w:rFonts w:ascii="Calibri" w:hAnsi="Calibri"/>
                <w:b w:val="0"/>
                <w:i w:val="0"/>
                <w:color w:val="172B3A"/>
                <w:sz w:val="15"/>
              </w:rPr>
              <w:t>Washout, gas, coal/lignite, matrix assumption; require caliper and local matrix</w:t>
            </w:r>
          </w:p>
        </w:tc>
      </w:tr>
      <w:tr>
        <w:tc>
          <w:tcPr>
            <w:tcW w:type="dxa" w:w="1300"/>
            <w:tcMar>
              <w:top w:w="80" w:type="dxa"/>
              <w:start w:w="120" w:type="dxa"/>
              <w:bottom w:w="80" w:type="dxa"/>
              <w:end w:w="120" w:type="dxa"/>
            </w:tcMar>
            <w:vAlign w:val="center"/>
          </w:tcPr>
          <w:p>
            <w:pPr>
              <w:spacing w:after="0"/>
            </w:pPr>
            <w:r>
              <w:rPr>
                <w:rFonts w:ascii="Calibri" w:hAnsi="Calibri"/>
                <w:b w:val="0"/>
                <w:i w:val="0"/>
                <w:color w:val="172B3A"/>
                <w:sz w:val="15"/>
              </w:rPr>
              <w:t>Porosity</w:t>
            </w:r>
          </w:p>
        </w:tc>
        <w:tc>
          <w:tcPr>
            <w:tcW w:type="dxa" w:w="2200"/>
            <w:tcMar>
              <w:top w:w="80" w:type="dxa"/>
              <w:start w:w="120" w:type="dxa"/>
              <w:bottom w:w="80" w:type="dxa"/>
              <w:end w:w="120" w:type="dxa"/>
            </w:tcMar>
            <w:vAlign w:val="center"/>
          </w:tcPr>
          <w:p>
            <w:pPr>
              <w:spacing w:after="0"/>
            </w:pPr>
            <w:r>
              <w:rPr>
                <w:rFonts w:ascii="Calibri" w:hAnsi="Calibri"/>
                <w:b w:val="0"/>
                <w:i w:val="0"/>
                <w:color w:val="172B3A"/>
                <w:sz w:val="15"/>
              </w:rPr>
              <w:t>Higher phi supports storage capacity</w:t>
            </w:r>
          </w:p>
        </w:tc>
        <w:tc>
          <w:tcPr>
            <w:tcW w:type="dxa" w:w="3000"/>
            <w:tcMar>
              <w:top w:w="80" w:type="dxa"/>
              <w:start w:w="120" w:type="dxa"/>
              <w:bottom w:w="80" w:type="dxa"/>
              <w:end w:w="120" w:type="dxa"/>
            </w:tcMar>
            <w:vAlign w:val="center"/>
          </w:tcPr>
          <w:p>
            <w:pPr>
              <w:spacing w:after="0"/>
            </w:pPr>
            <w:r>
              <w:rPr>
                <w:rFonts w:ascii="Calibri" w:hAnsi="Calibri"/>
                <w:b w:val="0"/>
                <w:i w:val="0"/>
                <w:color w:val="172B3A"/>
                <w:sz w:val="15"/>
              </w:rPr>
              <w:t>Reservoir can store hydrate</w:t>
            </w:r>
          </w:p>
        </w:tc>
        <w:tc>
          <w:tcPr>
            <w:tcW w:type="dxa" w:w="2860"/>
            <w:tcMar>
              <w:top w:w="80" w:type="dxa"/>
              <w:start w:w="120" w:type="dxa"/>
              <w:bottom w:w="80" w:type="dxa"/>
              <w:end w:w="120" w:type="dxa"/>
            </w:tcMar>
            <w:vAlign w:val="center"/>
          </w:tcPr>
          <w:p>
            <w:pPr>
              <w:spacing w:after="0"/>
            </w:pPr>
            <w:r>
              <w:rPr>
                <w:rFonts w:ascii="Calibri" w:hAnsi="Calibri"/>
                <w:b w:val="0"/>
                <w:i w:val="0"/>
                <w:color w:val="172B3A"/>
                <w:sz w:val="15"/>
              </w:rPr>
              <w:t>Good sand can still be water-bearing; require charge and phase evidence</w:t>
            </w:r>
          </w:p>
        </w:tc>
      </w:tr>
      <w:tr>
        <w:tc>
          <w:tcPr>
            <w:tcW w:type="dxa" w:w="1300"/>
            <w:tcMar>
              <w:top w:w="80" w:type="dxa"/>
              <w:start w:w="120" w:type="dxa"/>
              <w:bottom w:w="80" w:type="dxa"/>
              <w:end w:w="120" w:type="dxa"/>
            </w:tcMar>
            <w:vAlign w:val="center"/>
          </w:tcPr>
          <w:p>
            <w:pPr>
              <w:spacing w:after="0"/>
            </w:pPr>
            <w:r>
              <w:rPr>
                <w:rFonts w:ascii="Calibri" w:hAnsi="Calibri"/>
                <w:b w:val="0"/>
                <w:i w:val="0"/>
                <w:color w:val="172B3A"/>
                <w:sz w:val="15"/>
              </w:rPr>
              <w:t>Vp/Vs</w:t>
            </w:r>
          </w:p>
        </w:tc>
        <w:tc>
          <w:tcPr>
            <w:tcW w:type="dxa" w:w="2200"/>
            <w:tcMar>
              <w:top w:w="80" w:type="dxa"/>
              <w:start w:w="120" w:type="dxa"/>
              <w:bottom w:w="80" w:type="dxa"/>
              <w:end w:w="120" w:type="dxa"/>
            </w:tcMar>
            <w:vAlign w:val="center"/>
          </w:tcPr>
          <w:p>
            <w:pPr>
              <w:spacing w:after="0"/>
            </w:pPr>
            <w:r>
              <w:rPr>
                <w:rFonts w:ascii="Calibri" w:hAnsi="Calibri"/>
                <w:b w:val="0"/>
                <w:i w:val="0"/>
                <w:color w:val="172B3A"/>
                <w:sz w:val="15"/>
              </w:rPr>
              <w:t>Use as crossplot tendency</w:t>
            </w:r>
          </w:p>
        </w:tc>
        <w:tc>
          <w:tcPr>
            <w:tcW w:type="dxa" w:w="3000"/>
            <w:tcMar>
              <w:top w:w="80" w:type="dxa"/>
              <w:start w:w="120" w:type="dxa"/>
              <w:bottom w:w="80" w:type="dxa"/>
              <w:end w:w="120" w:type="dxa"/>
            </w:tcMar>
            <w:vAlign w:val="center"/>
          </w:tcPr>
          <w:p>
            <w:pPr>
              <w:spacing w:after="0"/>
            </w:pPr>
            <w:r>
              <w:rPr>
                <w:rFonts w:ascii="Calibri" w:hAnsi="Calibri"/>
                <w:b w:val="0"/>
                <w:i w:val="0"/>
                <w:color w:val="172B3A"/>
                <w:sz w:val="15"/>
              </w:rPr>
              <w:t>Hydrate, gas, water, ice, and lithology have different elastic trends</w:t>
            </w:r>
          </w:p>
        </w:tc>
        <w:tc>
          <w:tcPr>
            <w:tcW w:type="dxa" w:w="2860"/>
            <w:tcMar>
              <w:top w:w="80" w:type="dxa"/>
              <w:start w:w="120" w:type="dxa"/>
              <w:bottom w:w="80" w:type="dxa"/>
              <w:end w:w="120" w:type="dxa"/>
            </w:tcMar>
            <w:vAlign w:val="center"/>
          </w:tcPr>
          <w:p>
            <w:pPr>
              <w:spacing w:after="0"/>
            </w:pPr>
            <w:r>
              <w:rPr>
                <w:rFonts w:ascii="Calibri" w:hAnsi="Calibri"/>
                <w:b w:val="0"/>
                <w:i w:val="0"/>
                <w:color w:val="172B3A"/>
                <w:sz w:val="15"/>
              </w:rPr>
              <w:t>Overlapping ranges; require lambda-rho/mu-rho and stress context</w:t>
            </w:r>
          </w:p>
        </w:tc>
      </w:tr>
      <w:tr>
        <w:tc>
          <w:tcPr>
            <w:tcW w:type="dxa" w:w="1300"/>
            <w:tcMar>
              <w:top w:w="80" w:type="dxa"/>
              <w:start w:w="120" w:type="dxa"/>
              <w:bottom w:w="80" w:type="dxa"/>
              <w:end w:w="120" w:type="dxa"/>
            </w:tcMar>
            <w:vAlign w:val="center"/>
          </w:tcPr>
          <w:p>
            <w:pPr>
              <w:spacing w:after="0"/>
            </w:pPr>
            <w:r>
              <w:rPr>
                <w:rFonts w:ascii="Calibri" w:hAnsi="Calibri"/>
                <w:b w:val="0"/>
                <w:i w:val="0"/>
                <w:color w:val="172B3A"/>
                <w:sz w:val="15"/>
              </w:rPr>
              <w:t>lambda-rho / mu-rho</w:t>
            </w:r>
          </w:p>
        </w:tc>
        <w:tc>
          <w:tcPr>
            <w:tcW w:type="dxa" w:w="2200"/>
            <w:tcMar>
              <w:top w:w="80" w:type="dxa"/>
              <w:start w:w="120" w:type="dxa"/>
              <w:bottom w:w="80" w:type="dxa"/>
              <w:end w:w="120" w:type="dxa"/>
            </w:tcMar>
            <w:vAlign w:val="center"/>
          </w:tcPr>
          <w:p>
            <w:pPr>
              <w:spacing w:after="0"/>
            </w:pPr>
            <w:r>
              <w:rPr>
                <w:rFonts w:ascii="Calibri" w:hAnsi="Calibri"/>
                <w:b w:val="0"/>
                <w:i w:val="0"/>
                <w:color w:val="172B3A"/>
                <w:sz w:val="15"/>
              </w:rPr>
              <w:t>Hydrate tends to higher rigidity than gas</w:t>
            </w:r>
          </w:p>
        </w:tc>
        <w:tc>
          <w:tcPr>
            <w:tcW w:type="dxa" w:w="3000"/>
            <w:tcMar>
              <w:top w:w="80" w:type="dxa"/>
              <w:start w:w="120" w:type="dxa"/>
              <w:bottom w:w="80" w:type="dxa"/>
              <w:end w:w="120" w:type="dxa"/>
            </w:tcMar>
            <w:vAlign w:val="center"/>
          </w:tcPr>
          <w:p>
            <w:pPr>
              <w:spacing w:after="0"/>
            </w:pPr>
            <w:r>
              <w:rPr>
                <w:rFonts w:ascii="Calibri" w:hAnsi="Calibri"/>
                <w:b w:val="0"/>
                <w:i w:val="0"/>
                <w:color w:val="172B3A"/>
                <w:sz w:val="15"/>
              </w:rPr>
              <w:t>Separates frame stiffening from gas softening</w:t>
            </w:r>
          </w:p>
        </w:tc>
        <w:tc>
          <w:tcPr>
            <w:tcW w:type="dxa" w:w="2860"/>
            <w:tcMar>
              <w:top w:w="80" w:type="dxa"/>
              <w:start w:w="120" w:type="dxa"/>
              <w:bottom w:w="80" w:type="dxa"/>
              <w:end w:w="120" w:type="dxa"/>
            </w:tcMar>
            <w:vAlign w:val="center"/>
          </w:tcPr>
          <w:p>
            <w:pPr>
              <w:spacing w:after="0"/>
            </w:pPr>
            <w:r>
              <w:rPr>
                <w:rFonts w:ascii="Calibri" w:hAnsi="Calibri"/>
                <w:b w:val="0"/>
                <w:i w:val="0"/>
                <w:color w:val="172B3A"/>
                <w:sz w:val="15"/>
              </w:rPr>
              <w:t>Ice, carbonate, shale, stress; use multi-attribute crossplot</w:t>
            </w:r>
          </w:p>
        </w:tc>
      </w:tr>
      <w:tr>
        <w:tc>
          <w:tcPr>
            <w:tcW w:type="dxa" w:w="1300"/>
            <w:tcMar>
              <w:top w:w="80" w:type="dxa"/>
              <w:start w:w="120" w:type="dxa"/>
              <w:bottom w:w="80" w:type="dxa"/>
              <w:end w:w="120" w:type="dxa"/>
            </w:tcMar>
            <w:vAlign w:val="center"/>
          </w:tcPr>
          <w:p>
            <w:pPr>
              <w:spacing w:after="0"/>
            </w:pPr>
            <w:r>
              <w:rPr>
                <w:rFonts w:ascii="Calibri" w:hAnsi="Calibri"/>
                <w:b w:val="0"/>
                <w:i w:val="0"/>
                <w:color w:val="172B3A"/>
                <w:sz w:val="15"/>
              </w:rPr>
              <w:t>NMR-density separation</w:t>
            </w:r>
          </w:p>
        </w:tc>
        <w:tc>
          <w:tcPr>
            <w:tcW w:type="dxa" w:w="2200"/>
            <w:tcMar>
              <w:top w:w="80" w:type="dxa"/>
              <w:start w:w="120" w:type="dxa"/>
              <w:bottom w:w="80" w:type="dxa"/>
              <w:end w:w="120" w:type="dxa"/>
            </w:tcMar>
            <w:vAlign w:val="center"/>
          </w:tcPr>
          <w:p>
            <w:pPr>
              <w:spacing w:after="0"/>
            </w:pPr>
            <w:r>
              <w:rPr>
                <w:rFonts w:ascii="Calibri" w:hAnsi="Calibri"/>
                <w:b w:val="0"/>
                <w:i w:val="0"/>
                <w:color w:val="172B3A"/>
                <w:sz w:val="15"/>
              </w:rPr>
              <w:t>Positive separation supports mobile-fluid deficit</w:t>
            </w:r>
          </w:p>
        </w:tc>
        <w:tc>
          <w:tcPr>
            <w:tcW w:type="dxa" w:w="3000"/>
            <w:tcMar>
              <w:top w:w="80" w:type="dxa"/>
              <w:start w:w="120" w:type="dxa"/>
              <w:bottom w:w="80" w:type="dxa"/>
              <w:end w:w="120" w:type="dxa"/>
            </w:tcMar>
            <w:vAlign w:val="center"/>
          </w:tcPr>
          <w:p>
            <w:pPr>
              <w:spacing w:after="0"/>
            </w:pPr>
            <w:r>
              <w:rPr>
                <w:rFonts w:ascii="Calibri" w:hAnsi="Calibri"/>
                <w:b w:val="0"/>
                <w:i w:val="0"/>
                <w:color w:val="172B3A"/>
                <w:sz w:val="15"/>
              </w:rPr>
              <w:t>Preferred saturation anchor where NMR exists</w:t>
            </w:r>
          </w:p>
        </w:tc>
        <w:tc>
          <w:tcPr>
            <w:tcW w:type="dxa" w:w="2860"/>
            <w:tcMar>
              <w:top w:w="80" w:type="dxa"/>
              <w:start w:w="120" w:type="dxa"/>
              <w:bottom w:w="80" w:type="dxa"/>
              <w:end w:w="120" w:type="dxa"/>
            </w:tcMar>
            <w:vAlign w:val="center"/>
          </w:tcPr>
          <w:p>
            <w:pPr>
              <w:spacing w:after="0"/>
            </w:pPr>
            <w:r>
              <w:rPr>
                <w:rFonts w:ascii="Calibri" w:hAnsi="Calibri"/>
                <w:b w:val="0"/>
                <w:i w:val="0"/>
                <w:color w:val="172B3A"/>
                <w:sz w:val="15"/>
              </w:rPr>
              <w:t>Depth mismatch, tool quality, shale effects; attach confidence flag</w:t>
            </w:r>
          </w:p>
        </w:tc>
      </w:tr>
      <w:tr>
        <w:tc>
          <w:tcPr>
            <w:tcW w:type="dxa" w:w="1300"/>
            <w:tcMar>
              <w:top w:w="80" w:type="dxa"/>
              <w:start w:w="120" w:type="dxa"/>
              <w:bottom w:w="80" w:type="dxa"/>
              <w:end w:w="120" w:type="dxa"/>
            </w:tcMar>
            <w:vAlign w:val="center"/>
          </w:tcPr>
          <w:p>
            <w:pPr>
              <w:spacing w:after="0"/>
            </w:pPr>
            <w:r>
              <w:rPr>
                <w:rFonts w:ascii="Calibri" w:hAnsi="Calibri"/>
                <w:b w:val="0"/>
                <w:i w:val="0"/>
                <w:color w:val="172B3A"/>
                <w:sz w:val="15"/>
              </w:rPr>
              <w:t>Temperature/pressure/GHSZ</w:t>
            </w:r>
          </w:p>
        </w:tc>
        <w:tc>
          <w:tcPr>
            <w:tcW w:type="dxa" w:w="2200"/>
            <w:tcMar>
              <w:top w:w="80" w:type="dxa"/>
              <w:start w:w="120" w:type="dxa"/>
              <w:bottom w:w="80" w:type="dxa"/>
              <w:end w:w="120" w:type="dxa"/>
            </w:tcMar>
            <w:vAlign w:val="center"/>
          </w:tcPr>
          <w:p>
            <w:pPr>
              <w:spacing w:after="0"/>
            </w:pPr>
            <w:r>
              <w:rPr>
                <w:rFonts w:ascii="Calibri" w:hAnsi="Calibri"/>
                <w:b w:val="0"/>
                <w:i w:val="0"/>
                <w:color w:val="172B3A"/>
                <w:sz w:val="15"/>
              </w:rPr>
              <w:t>Stable/marginal/outside screen</w:t>
            </w:r>
          </w:p>
        </w:tc>
        <w:tc>
          <w:tcPr>
            <w:tcW w:type="dxa" w:w="3000"/>
            <w:tcMar>
              <w:top w:w="80" w:type="dxa"/>
              <w:start w:w="120" w:type="dxa"/>
              <w:bottom w:w="80" w:type="dxa"/>
              <w:end w:w="120" w:type="dxa"/>
            </w:tcMar>
            <w:vAlign w:val="center"/>
          </w:tcPr>
          <w:p>
            <w:pPr>
              <w:spacing w:after="0"/>
            </w:pPr>
            <w:r>
              <w:rPr>
                <w:rFonts w:ascii="Calibri" w:hAnsi="Calibri"/>
                <w:b w:val="0"/>
                <w:i w:val="0"/>
                <w:color w:val="172B3A"/>
                <w:sz w:val="15"/>
              </w:rPr>
              <w:t>Hydrate admissibility</w:t>
            </w:r>
          </w:p>
        </w:tc>
        <w:tc>
          <w:tcPr>
            <w:tcW w:type="dxa" w:w="2860"/>
            <w:tcMar>
              <w:top w:w="80" w:type="dxa"/>
              <w:start w:w="120" w:type="dxa"/>
              <w:bottom w:w="80" w:type="dxa"/>
              <w:end w:w="120" w:type="dxa"/>
            </w:tcMar>
            <w:vAlign w:val="center"/>
          </w:tcPr>
          <w:p>
            <w:pPr>
              <w:spacing w:after="0"/>
            </w:pPr>
            <w:r>
              <w:rPr>
                <w:rFonts w:ascii="Calibri" w:hAnsi="Calibri"/>
                <w:b w:val="0"/>
                <w:i w:val="0"/>
                <w:color w:val="172B3A"/>
                <w:sz w:val="15"/>
              </w:rPr>
              <w:t>Not occurrence; charge and reservoir are required</w:t>
            </w:r>
          </w:p>
        </w:tc>
      </w:tr>
    </w:tbl>
    <w:p>
      <w:pPr>
        <w:spacing w:before="0" w:after="20" w:line="283" w:lineRule="auto"/>
      </w:pPr>
      <w:r>
        <w:rPr>
          <w:rFonts w:ascii="Calibri" w:hAnsi="Calibri"/>
          <w:b w:val="0"/>
          <w:i w:val="0"/>
          <w:color w:val="172B3A"/>
          <w:sz w:val="21"/>
        </w:rPr>
      </w:r>
    </w:p>
    <w:p>
      <w:pPr>
        <w:pStyle w:val="Heading1"/>
        <w:keepNext/>
      </w:pPr>
      <w:r>
        <w:t>7. Machine-Learning Design</w:t>
      </w:r>
    </w:p>
    <w:p>
      <w:pPr>
        <w:pStyle w:val="ListBullet"/>
        <w:spacing w:after="60"/>
      </w:pPr>
      <w:r>
        <w:rPr>
          <w:rFonts w:ascii="Calibri" w:hAnsi="Calibri"/>
          <w:b w:val="0"/>
          <w:i w:val="0"/>
          <w:color w:val="172B3A"/>
          <w:sz w:val="20"/>
        </w:rPr>
        <w:t>Use grouped splits by well to prevent depth-sample leakage.</w:t>
      </w:r>
    </w:p>
    <w:p>
      <w:pPr>
        <w:pStyle w:val="ListBullet"/>
        <w:spacing w:after="60"/>
      </w:pPr>
      <w:r>
        <w:rPr>
          <w:rFonts w:ascii="Calibri" w:hAnsi="Calibri"/>
          <w:b w:val="0"/>
          <w:i w:val="0"/>
          <w:color w:val="172B3A"/>
          <w:sz w:val="20"/>
        </w:rPr>
        <w:t>Begin with rule and interpretable baselines before tree ensembles or sequence models.</w:t>
      </w:r>
    </w:p>
    <w:p>
      <w:pPr>
        <w:pStyle w:val="ListBullet"/>
        <w:spacing w:after="60"/>
      </w:pPr>
      <w:r>
        <w:rPr>
          <w:rFonts w:ascii="Calibri" w:hAnsi="Calibri"/>
          <w:b w:val="0"/>
          <w:i w:val="0"/>
          <w:color w:val="172B3A"/>
          <w:sz w:val="20"/>
        </w:rPr>
        <w:t>Train or report staged outputs rather than collapsing all decisions into one hydrate/no-hydrate class.</w:t>
      </w:r>
    </w:p>
    <w:p>
      <w:pPr>
        <w:pStyle w:val="ListBullet"/>
        <w:spacing w:after="60"/>
      </w:pPr>
      <w:r>
        <w:rPr>
          <w:rFonts w:ascii="Calibri" w:hAnsi="Calibri"/>
          <w:b w:val="0"/>
          <w:i w:val="0"/>
          <w:color w:val="172B3A"/>
          <w:sz w:val="20"/>
        </w:rPr>
        <w:t>Keep an explicit expert-review or abstain state for missing tools, contradictory evidence, and poor calibration.</w:t>
      </w:r>
    </w:p>
    <w:p>
      <w:pPr>
        <w:pStyle w:val="ListBullet"/>
        <w:spacing w:after="60"/>
      </w:pPr>
      <w:r>
        <w:rPr>
          <w:rFonts w:ascii="Calibri" w:hAnsi="Calibri"/>
          <w:b w:val="0"/>
          <w:i w:val="0"/>
          <w:color w:val="172B3A"/>
          <w:sz w:val="20"/>
        </w:rPr>
        <w:t>Report probability calibration and failure-mode review, not only accuracy.</w:t>
      </w:r>
    </w:p>
    <w:p>
      <w:pPr>
        <w:pStyle w:val="Heading1"/>
        <w:keepNext/>
      </w:pPr>
      <w:r>
        <w:t>8. Planned Dashboard and PowerPoint Outputs</w:t>
      </w:r>
    </w:p>
    <w:tbl>
      <w:tblPr>
        <w:tblStyle w:val="TableGrid"/>
        <w:tblW w:type="auto" w:w="0"/>
        <w:jc w:val="left"/>
        <w:tblLayout w:type="fixed"/>
        <w:tblLook w:firstColumn="1" w:firstRow="1" w:lastColumn="0" w:lastRow="0" w:noHBand="0" w:noVBand="1" w:val="04A0"/>
      </w:tblPr>
      <w:tblGrid>
        <w:gridCol w:w="2200"/>
        <w:gridCol w:w="4100"/>
        <w:gridCol w:w="3060"/>
      </w:tblGrid>
      <w:tr>
        <w:trPr>
          <w:tblHeader w:val="true"/>
        </w:trPr>
        <w:tc>
          <w:tcPr>
            <w:tcW w:type="dxa" w:w="2200"/>
            <w:tcMar>
              <w:top w:w="80" w:type="dxa"/>
              <w:start w:w="120" w:type="dxa"/>
              <w:bottom w:w="80" w:type="dxa"/>
              <w:end w:w="120" w:type="dxa"/>
            </w:tcMar>
            <w:shd w:fill="123447"/>
            <w:vAlign w:val="center"/>
          </w:tcPr>
          <w:p>
            <w:r>
              <w:rPr>
                <w:rFonts w:ascii="Calibri" w:hAnsi="Calibri"/>
                <w:b/>
                <w:i w:val="0"/>
                <w:color w:val="FFFFFF"/>
                <w:sz w:val="16"/>
              </w:rPr>
              <w:t>Output</w:t>
            </w:r>
          </w:p>
        </w:tc>
        <w:tc>
          <w:tcPr>
            <w:tcW w:type="dxa" w:w="4100"/>
            <w:tcMar>
              <w:top w:w="80" w:type="dxa"/>
              <w:start w:w="120" w:type="dxa"/>
              <w:bottom w:w="80" w:type="dxa"/>
              <w:end w:w="120" w:type="dxa"/>
            </w:tcMar>
            <w:shd w:fill="123447"/>
            <w:vAlign w:val="center"/>
          </w:tcPr>
          <w:p>
            <w:r>
              <w:rPr>
                <w:rFonts w:ascii="Calibri" w:hAnsi="Calibri"/>
                <w:b/>
                <w:i w:val="0"/>
                <w:color w:val="FFFFFF"/>
                <w:sz w:val="16"/>
              </w:rPr>
              <w:t>Research-paper role</w:t>
            </w:r>
          </w:p>
        </w:tc>
        <w:tc>
          <w:tcPr>
            <w:tcW w:type="dxa" w:w="3060"/>
            <w:tcMar>
              <w:top w:w="80" w:type="dxa"/>
              <w:start w:w="120" w:type="dxa"/>
              <w:bottom w:w="80" w:type="dxa"/>
              <w:end w:w="120" w:type="dxa"/>
            </w:tcMar>
            <w:shd w:fill="123447"/>
            <w:vAlign w:val="center"/>
          </w:tcPr>
          <w:p>
            <w:r>
              <w:rPr>
                <w:rFonts w:ascii="Calibri" w:hAnsi="Calibri"/>
                <w:b/>
                <w:i w:val="0"/>
                <w:color w:val="FFFFFF"/>
                <w:sz w:val="16"/>
              </w:rPr>
              <w:t>PowerPoint role</w:t>
            </w:r>
          </w:p>
        </w:tc>
      </w:tr>
      <w:tr>
        <w:tc>
          <w:tcPr>
            <w:tcW w:type="dxa" w:w="2200"/>
            <w:tcMar>
              <w:top w:w="80" w:type="dxa"/>
              <w:start w:w="120" w:type="dxa"/>
              <w:bottom w:w="80" w:type="dxa"/>
              <w:end w:w="120" w:type="dxa"/>
            </w:tcMar>
            <w:vAlign w:val="center"/>
          </w:tcPr>
          <w:p>
            <w:pPr>
              <w:spacing w:after="0"/>
            </w:pPr>
            <w:r>
              <w:rPr>
                <w:rFonts w:ascii="Calibri" w:hAnsi="Calibri"/>
                <w:b w:val="0"/>
                <w:i w:val="0"/>
                <w:color w:val="172B3A"/>
                <w:sz w:val="16"/>
              </w:rPr>
              <w:t>Variable Range Explorer</w:t>
            </w:r>
          </w:p>
        </w:tc>
        <w:tc>
          <w:tcPr>
            <w:tcW w:type="dxa" w:w="4100"/>
            <w:tcMar>
              <w:top w:w="80" w:type="dxa"/>
              <w:start w:w="120" w:type="dxa"/>
              <w:bottom w:w="80" w:type="dxa"/>
              <w:end w:w="120" w:type="dxa"/>
            </w:tcMar>
            <w:vAlign w:val="center"/>
          </w:tcPr>
          <w:p>
            <w:pPr>
              <w:spacing w:after="0"/>
            </w:pPr>
            <w:r>
              <w:rPr>
                <w:rFonts w:ascii="Calibri" w:hAnsi="Calibri"/>
                <w:b w:val="0"/>
                <w:i w:val="0"/>
                <w:color w:val="172B3A"/>
                <w:sz w:val="16"/>
              </w:rPr>
              <w:t>Summarize distribution, missingness, and depth-window behavior by well/location.</w:t>
            </w:r>
          </w:p>
        </w:tc>
        <w:tc>
          <w:tcPr>
            <w:tcW w:type="dxa" w:w="3060"/>
            <w:tcMar>
              <w:top w:w="80" w:type="dxa"/>
              <w:start w:w="120" w:type="dxa"/>
              <w:bottom w:w="80" w:type="dxa"/>
              <w:end w:w="120" w:type="dxa"/>
            </w:tcMar>
            <w:vAlign w:val="center"/>
          </w:tcPr>
          <w:p>
            <w:pPr>
              <w:spacing w:after="0"/>
            </w:pPr>
            <w:r>
              <w:rPr>
                <w:rFonts w:ascii="Calibri" w:hAnsi="Calibri"/>
                <w:b w:val="0"/>
                <w:i w:val="0"/>
                <w:color w:val="172B3A"/>
                <w:sz w:val="16"/>
              </w:rPr>
              <w:t>Range tables and curve panels.</w:t>
            </w:r>
          </w:p>
        </w:tc>
      </w:tr>
      <w:tr>
        <w:tc>
          <w:tcPr>
            <w:tcW w:type="dxa" w:w="2200"/>
            <w:tcMar>
              <w:top w:w="80" w:type="dxa"/>
              <w:start w:w="120" w:type="dxa"/>
              <w:bottom w:w="80" w:type="dxa"/>
              <w:end w:w="120" w:type="dxa"/>
            </w:tcMar>
            <w:vAlign w:val="center"/>
          </w:tcPr>
          <w:p>
            <w:pPr>
              <w:spacing w:after="0"/>
            </w:pPr>
            <w:r>
              <w:rPr>
                <w:rFonts w:ascii="Calibri" w:hAnsi="Calibri"/>
                <w:b w:val="0"/>
                <w:i w:val="0"/>
                <w:color w:val="172B3A"/>
                <w:sz w:val="16"/>
              </w:rPr>
              <w:t>Hydrate Interpretation Range Guide</w:t>
            </w:r>
          </w:p>
        </w:tc>
        <w:tc>
          <w:tcPr>
            <w:tcW w:type="dxa" w:w="4100"/>
            <w:tcMar>
              <w:top w:w="80" w:type="dxa"/>
              <w:start w:w="120" w:type="dxa"/>
              <w:bottom w:w="80" w:type="dxa"/>
              <w:end w:w="120" w:type="dxa"/>
            </w:tcMar>
            <w:vAlign w:val="center"/>
          </w:tcPr>
          <w:p>
            <w:pPr>
              <w:spacing w:after="0"/>
            </w:pPr>
            <w:r>
              <w:rPr>
                <w:rFonts w:ascii="Calibri" w:hAnsi="Calibri"/>
                <w:b w:val="0"/>
                <w:i w:val="0"/>
                <w:color w:val="172B3A"/>
                <w:sz w:val="16"/>
              </w:rPr>
              <w:t>Explain why each variable response matters and where it fails.</w:t>
            </w:r>
          </w:p>
        </w:tc>
        <w:tc>
          <w:tcPr>
            <w:tcW w:type="dxa" w:w="3060"/>
            <w:tcMar>
              <w:top w:w="80" w:type="dxa"/>
              <w:start w:w="120" w:type="dxa"/>
              <w:bottom w:w="80" w:type="dxa"/>
              <w:end w:w="120" w:type="dxa"/>
            </w:tcMar>
            <w:vAlign w:val="center"/>
          </w:tcPr>
          <w:p>
            <w:pPr>
              <w:spacing w:after="0"/>
            </w:pPr>
            <w:r>
              <w:rPr>
                <w:rFonts w:ascii="Calibri" w:hAnsi="Calibri"/>
                <w:b w:val="0"/>
                <w:i w:val="0"/>
                <w:color w:val="172B3A"/>
                <w:sz w:val="16"/>
              </w:rPr>
              <w:t>Methods and safeguards slides.</w:t>
            </w:r>
          </w:p>
        </w:tc>
      </w:tr>
      <w:tr>
        <w:tc>
          <w:tcPr>
            <w:tcW w:type="dxa" w:w="2200"/>
            <w:tcMar>
              <w:top w:w="80" w:type="dxa"/>
              <w:start w:w="120" w:type="dxa"/>
              <w:bottom w:w="80" w:type="dxa"/>
              <w:end w:w="120" w:type="dxa"/>
            </w:tcMar>
            <w:vAlign w:val="center"/>
          </w:tcPr>
          <w:p>
            <w:pPr>
              <w:spacing w:after="0"/>
            </w:pPr>
            <w:r>
              <w:rPr>
                <w:rFonts w:ascii="Calibri" w:hAnsi="Calibri"/>
                <w:b w:val="0"/>
                <w:i w:val="0"/>
                <w:color w:val="172B3A"/>
                <w:sz w:val="16"/>
              </w:rPr>
              <w:t>Interval Screening Scaffold</w:t>
            </w:r>
          </w:p>
        </w:tc>
        <w:tc>
          <w:tcPr>
            <w:tcW w:type="dxa" w:w="4100"/>
            <w:tcMar>
              <w:top w:w="80" w:type="dxa"/>
              <w:start w:w="120" w:type="dxa"/>
              <w:bottom w:w="80" w:type="dxa"/>
              <w:end w:w="120" w:type="dxa"/>
            </w:tcMar>
            <w:vAlign w:val="center"/>
          </w:tcPr>
          <w:p>
            <w:pPr>
              <w:spacing w:after="0"/>
            </w:pPr>
            <w:r>
              <w:rPr>
                <w:rFonts w:ascii="Calibri" w:hAnsi="Calibri"/>
                <w:b w:val="0"/>
                <w:i w:val="0"/>
                <w:color w:val="172B3A"/>
                <w:sz w:val="16"/>
              </w:rPr>
              <w:t>Report staged outputs with uncertainty and good-sand/no-hydrate outcomes.</w:t>
            </w:r>
          </w:p>
        </w:tc>
        <w:tc>
          <w:tcPr>
            <w:tcW w:type="dxa" w:w="3060"/>
            <w:tcMar>
              <w:top w:w="80" w:type="dxa"/>
              <w:start w:w="120" w:type="dxa"/>
              <w:bottom w:w="80" w:type="dxa"/>
              <w:end w:w="120" w:type="dxa"/>
            </w:tcMar>
            <w:vAlign w:val="center"/>
          </w:tcPr>
          <w:p>
            <w:pPr>
              <w:spacing w:after="0"/>
            </w:pPr>
            <w:r>
              <w:rPr>
                <w:rFonts w:ascii="Calibri" w:hAnsi="Calibri"/>
                <w:b w:val="0"/>
                <w:i w:val="0"/>
                <w:color w:val="172B3A"/>
                <w:sz w:val="16"/>
              </w:rPr>
              <w:t>Result panel and interval table.</w:t>
            </w:r>
          </w:p>
        </w:tc>
      </w:tr>
      <w:tr>
        <w:tc>
          <w:tcPr>
            <w:tcW w:type="dxa" w:w="2200"/>
            <w:tcMar>
              <w:top w:w="80" w:type="dxa"/>
              <w:start w:w="120" w:type="dxa"/>
              <w:bottom w:w="80" w:type="dxa"/>
              <w:end w:w="120" w:type="dxa"/>
            </w:tcMar>
            <w:vAlign w:val="center"/>
          </w:tcPr>
          <w:p>
            <w:pPr>
              <w:spacing w:after="0"/>
            </w:pPr>
            <w:r>
              <w:rPr>
                <w:rFonts w:ascii="Calibri" w:hAnsi="Calibri"/>
                <w:b w:val="0"/>
                <w:i w:val="0"/>
                <w:color w:val="172B3A"/>
                <w:sz w:val="16"/>
              </w:rPr>
              <w:t>Core Calibration Scaffold</w:t>
            </w:r>
          </w:p>
        </w:tc>
        <w:tc>
          <w:tcPr>
            <w:tcW w:type="dxa" w:w="4100"/>
            <w:tcMar>
              <w:top w:w="80" w:type="dxa"/>
              <w:start w:w="120" w:type="dxa"/>
              <w:bottom w:w="80" w:type="dxa"/>
              <w:end w:w="120" w:type="dxa"/>
            </w:tcMar>
            <w:vAlign w:val="center"/>
          </w:tcPr>
          <w:p>
            <w:pPr>
              <w:spacing w:after="0"/>
            </w:pPr>
            <w:r>
              <w:rPr>
                <w:rFonts w:ascii="Calibri" w:hAnsi="Calibri"/>
                <w:b w:val="0"/>
                <w:i w:val="0"/>
                <w:color w:val="172B3A"/>
                <w:sz w:val="16"/>
              </w:rPr>
              <w:t>Attach pressure-core quality, disturbance, and depth-match confidence.</w:t>
            </w:r>
          </w:p>
        </w:tc>
        <w:tc>
          <w:tcPr>
            <w:tcW w:type="dxa" w:w="3060"/>
            <w:tcMar>
              <w:top w:w="80" w:type="dxa"/>
              <w:start w:w="120" w:type="dxa"/>
              <w:bottom w:w="80" w:type="dxa"/>
              <w:end w:w="120" w:type="dxa"/>
            </w:tcMar>
            <w:vAlign w:val="center"/>
          </w:tcPr>
          <w:p>
            <w:pPr>
              <w:spacing w:after="0"/>
            </w:pPr>
            <w:r>
              <w:rPr>
                <w:rFonts w:ascii="Calibri" w:hAnsi="Calibri"/>
                <w:b w:val="0"/>
                <w:i w:val="0"/>
                <w:color w:val="172B3A"/>
                <w:sz w:val="16"/>
              </w:rPr>
              <w:t>Core-to-log calibration figure.</w:t>
            </w:r>
          </w:p>
        </w:tc>
      </w:tr>
      <w:tr>
        <w:tc>
          <w:tcPr>
            <w:tcW w:type="dxa" w:w="2200"/>
            <w:tcMar>
              <w:top w:w="80" w:type="dxa"/>
              <w:start w:w="120" w:type="dxa"/>
              <w:bottom w:w="80" w:type="dxa"/>
              <w:end w:w="120" w:type="dxa"/>
            </w:tcMar>
            <w:vAlign w:val="center"/>
          </w:tcPr>
          <w:p>
            <w:pPr>
              <w:spacing w:after="0"/>
            </w:pPr>
            <w:r>
              <w:rPr>
                <w:rFonts w:ascii="Calibri" w:hAnsi="Calibri"/>
                <w:b w:val="0"/>
                <w:i w:val="0"/>
                <w:color w:val="172B3A"/>
                <w:sz w:val="16"/>
              </w:rPr>
              <w:t>Validation Dashboard</w:t>
            </w:r>
          </w:p>
        </w:tc>
        <w:tc>
          <w:tcPr>
            <w:tcW w:type="dxa" w:w="4100"/>
            <w:tcMar>
              <w:top w:w="80" w:type="dxa"/>
              <w:start w:w="120" w:type="dxa"/>
              <w:bottom w:w="80" w:type="dxa"/>
              <w:end w:w="120" w:type="dxa"/>
            </w:tcMar>
            <w:vAlign w:val="center"/>
          </w:tcPr>
          <w:p>
            <w:pPr>
              <w:spacing w:after="0"/>
            </w:pPr>
            <w:r>
              <w:rPr>
                <w:rFonts w:ascii="Calibri" w:hAnsi="Calibri"/>
                <w:b w:val="0"/>
                <w:i w:val="0"/>
                <w:color w:val="172B3A"/>
                <w:sz w:val="16"/>
              </w:rPr>
              <w:t>Show grouped metrics, calibration, abstention, and error review.</w:t>
            </w:r>
          </w:p>
        </w:tc>
        <w:tc>
          <w:tcPr>
            <w:tcW w:type="dxa" w:w="3060"/>
            <w:tcMar>
              <w:top w:w="80" w:type="dxa"/>
              <w:start w:w="120" w:type="dxa"/>
              <w:bottom w:w="80" w:type="dxa"/>
              <w:end w:w="120" w:type="dxa"/>
            </w:tcMar>
            <w:vAlign w:val="center"/>
          </w:tcPr>
          <w:p>
            <w:pPr>
              <w:spacing w:after="0"/>
            </w:pPr>
            <w:r>
              <w:rPr>
                <w:rFonts w:ascii="Calibri" w:hAnsi="Calibri"/>
                <w:b w:val="0"/>
                <w:i w:val="0"/>
                <w:color w:val="172B3A"/>
                <w:sz w:val="16"/>
              </w:rPr>
              <w:t>Performance reporting slide.</w:t>
            </w:r>
          </w:p>
        </w:tc>
      </w:tr>
    </w:tbl>
    <w:p>
      <w:pPr>
        <w:spacing w:before="0" w:after="20" w:line="283" w:lineRule="auto"/>
      </w:pPr>
      <w:r>
        <w:rPr>
          <w:rFonts w:ascii="Calibri" w:hAnsi="Calibri"/>
          <w:b w:val="0"/>
          <w:i w:val="0"/>
          <w:color w:val="172B3A"/>
          <w:sz w:val="21"/>
        </w:rPr>
      </w:r>
    </w:p>
    <w:p>
      <w:pPr>
        <w:pStyle w:val="Heading1"/>
        <w:keepNext/>
      </w:pPr>
      <w:r>
        <w:t>9. References and Source Index</w:t>
      </w:r>
    </w:p>
    <w:p>
      <w:pPr>
        <w:spacing w:before="0" w:after="120" w:line="283" w:lineRule="auto"/>
      </w:pPr>
      <w:r>
        <w:rPr>
          <w:rFonts w:ascii="Calibri" w:hAnsi="Calibri"/>
          <w:b w:val="0"/>
          <w:i w:val="0"/>
          <w:color w:val="172B3A"/>
          <w:sz w:val="21"/>
        </w:rPr>
        <w:t>Formal references should be finalized after reviewing original source metadata. For the current planning draft, use the organized local source library and the manuscript table anchors below.</w:t>
      </w:r>
    </w:p>
    <w:tbl>
      <w:tblPr>
        <w:tblStyle w:val="TableGrid"/>
        <w:tblW w:type="auto" w:w="0"/>
        <w:jc w:val="left"/>
        <w:tblLayout w:type="fixed"/>
        <w:tblLook w:firstColumn="1" w:firstRow="1" w:lastColumn="0" w:lastRow="0" w:noHBand="0" w:noVBand="1" w:val="04A0"/>
      </w:tblPr>
      <w:tblGrid>
        <w:gridCol w:w="520"/>
        <w:gridCol w:w="3900"/>
        <w:gridCol w:w="4940"/>
      </w:tblGrid>
      <w:tr>
        <w:trPr>
          <w:tblHeader w:val="true"/>
        </w:trPr>
        <w:tc>
          <w:tcPr>
            <w:tcW w:type="dxa" w:w="520"/>
            <w:tcMar>
              <w:top w:w="80" w:type="dxa"/>
              <w:start w:w="120" w:type="dxa"/>
              <w:bottom w:w="80" w:type="dxa"/>
              <w:end w:w="120" w:type="dxa"/>
            </w:tcMar>
            <w:shd w:fill="123447"/>
            <w:vAlign w:val="center"/>
          </w:tcPr>
          <w:p>
            <w:r>
              <w:rPr>
                <w:rFonts w:ascii="Calibri" w:hAnsi="Calibri"/>
                <w:b/>
                <w:i w:val="0"/>
                <w:color w:val="FFFFFF"/>
                <w:sz w:val="15"/>
              </w:rPr>
              <w:t>Ref</w:t>
            </w:r>
          </w:p>
        </w:tc>
        <w:tc>
          <w:tcPr>
            <w:tcW w:type="dxa" w:w="3900"/>
            <w:tcMar>
              <w:top w:w="80" w:type="dxa"/>
              <w:start w:w="120" w:type="dxa"/>
              <w:bottom w:w="80" w:type="dxa"/>
              <w:end w:w="120" w:type="dxa"/>
            </w:tcMar>
            <w:shd w:fill="123447"/>
            <w:vAlign w:val="center"/>
          </w:tcPr>
          <w:p>
            <w:r>
              <w:rPr>
                <w:rFonts w:ascii="Calibri" w:hAnsi="Calibri"/>
                <w:b/>
                <w:i w:val="0"/>
                <w:color w:val="FFFFFF"/>
                <w:sz w:val="15"/>
              </w:rPr>
              <w:t>Source</w:t>
            </w:r>
          </w:p>
        </w:tc>
        <w:tc>
          <w:tcPr>
            <w:tcW w:type="dxa" w:w="4940"/>
            <w:tcMar>
              <w:top w:w="80" w:type="dxa"/>
              <w:start w:w="120" w:type="dxa"/>
              <w:bottom w:w="80" w:type="dxa"/>
              <w:end w:w="120" w:type="dxa"/>
            </w:tcMar>
            <w:shd w:fill="123447"/>
            <w:vAlign w:val="center"/>
          </w:tcPr>
          <w:p>
            <w:r>
              <w:rPr>
                <w:rFonts w:ascii="Calibri" w:hAnsi="Calibri"/>
                <w:b/>
                <w:i w:val="0"/>
                <w:color w:val="FFFFFF"/>
                <w:sz w:val="15"/>
              </w:rPr>
              <w:t>Use in this draft</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R1</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Manuscript North Slope of Alaska Gas hydrates draft.docx</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Project synthesis; Sections 3, 6, 7, 8, 12, 13; Appendix A; Appendix B.</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R2</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USGS Scientific Investigations Report 2012-5054 files</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Mount Elbert / Alaska hydrate field context and methods.</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R3</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sir2012-5147_arctic.pdf</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Arctic Alaska petroleum/geologic resource context.</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R4</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permafrost-mtelbert (1).pdf</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Permafrost-associated hydrate / Mount Elbert context.</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R5</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Controls on reservoir quality of the Nanushuk Formation.pdf</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Nanushuk reservoir-quality and burial/porosity context.</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R6</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GEOLOGICAL EVOLUTION AND HYDROCARBON RESOURCES POTENTIAL IN NORTH SLOPE, ALASKA.pdf</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North Slope tectonic and petroleum-system context.</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R7</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hydrate_wireline_equation_map.docx</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Wireline equation mapping and implementation notes.</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R8</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lambda_density_pt_overburden_ranges.docx</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Lambda-density, pressure-temperature, and overburden range notes.</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R9</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Geomechanical_Controls_Gas_Hydrate_Productivity_NGHP_GOM_Alaska_ML.docx</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Geomechanical and productivity ML framework.</w:t>
            </w:r>
          </w:p>
        </w:tc>
      </w:tr>
      <w:tr>
        <w:tc>
          <w:tcPr>
            <w:tcW w:type="dxa" w:w="520"/>
            <w:tcMar>
              <w:top w:w="80" w:type="dxa"/>
              <w:start w:w="120" w:type="dxa"/>
              <w:bottom w:w="80" w:type="dxa"/>
              <w:end w:w="120" w:type="dxa"/>
            </w:tcMar>
            <w:vAlign w:val="center"/>
          </w:tcPr>
          <w:p>
            <w:pPr>
              <w:spacing w:after="0"/>
            </w:pPr>
            <w:r>
              <w:rPr>
                <w:rFonts w:ascii="Calibri" w:hAnsi="Calibri"/>
                <w:b w:val="0"/>
                <w:i w:val="0"/>
                <w:color w:val="172B3A"/>
                <w:sz w:val="15"/>
              </w:rPr>
              <w:t>R10</w:t>
            </w:r>
          </w:p>
        </w:tc>
        <w:tc>
          <w:tcPr>
            <w:tcW w:type="dxa" w:w="3900"/>
            <w:tcMar>
              <w:top w:w="80" w:type="dxa"/>
              <w:start w:w="120" w:type="dxa"/>
              <w:bottom w:w="80" w:type="dxa"/>
              <w:end w:w="120" w:type="dxa"/>
            </w:tcMar>
            <w:vAlign w:val="center"/>
          </w:tcPr>
          <w:p>
            <w:pPr>
              <w:spacing w:after="0"/>
            </w:pPr>
            <w:r>
              <w:rPr>
                <w:rFonts w:ascii="Calibri" w:hAnsi="Calibri"/>
                <w:b w:val="0"/>
                <w:i w:val="0"/>
                <w:color w:val="172B3A"/>
                <w:sz w:val="15"/>
              </w:rPr>
              <w:t>North Slope Data Layer Map.pdf and public atlas data dictionary</w:t>
            </w:r>
          </w:p>
        </w:tc>
        <w:tc>
          <w:tcPr>
            <w:tcW w:type="dxa" w:w="4940"/>
            <w:tcMar>
              <w:top w:w="80" w:type="dxa"/>
              <w:start w:w="120" w:type="dxa"/>
              <w:bottom w:w="80" w:type="dxa"/>
              <w:end w:w="120" w:type="dxa"/>
            </w:tcMar>
            <w:vAlign w:val="center"/>
          </w:tcPr>
          <w:p>
            <w:pPr>
              <w:spacing w:after="0"/>
            </w:pPr>
            <w:r>
              <w:rPr>
                <w:rFonts w:ascii="Calibri" w:hAnsi="Calibri"/>
                <w:b w:val="0"/>
                <w:i w:val="0"/>
                <w:color w:val="172B3A"/>
                <w:sz w:val="15"/>
              </w:rPr>
              <w:t>Public-source regional atlas and map-output context.</w:t>
            </w:r>
          </w:p>
        </w:tc>
      </w:tr>
    </w:tbl>
    <w:p>
      <w:pPr>
        <w:spacing w:before="0" w:after="20" w:line="283" w:lineRule="auto"/>
      </w:pPr>
      <w:r>
        <w:rPr>
          <w:rFonts w:ascii="Calibri" w:hAnsi="Calibri"/>
          <w:b w:val="0"/>
          <w:i w:val="0"/>
          <w:color w:val="172B3A"/>
          <w:sz w:val="21"/>
        </w:rPr>
      </w:r>
    </w:p>
    <w:tbl>
      <w:tblPr>
        <w:tblStyle w:val="TableGrid"/>
        <w:tblW w:type="auto" w:w="0"/>
        <w:jc w:val="left"/>
        <w:tblLayout w:type="fixed"/>
        <w:tblLook w:firstColumn="1" w:firstRow="1" w:lastColumn="0" w:lastRow="0" w:noHBand="0" w:noVBand="1" w:val="04A0"/>
      </w:tblPr>
      <w:tblGrid>
        <w:gridCol w:w="9360"/>
      </w:tblGrid>
      <w:tr>
        <w:trPr>
          <w:tblHeader w:val="true"/>
        </w:trPr>
        <w:tc>
          <w:tcPr>
            <w:tcW w:type="dxa" w:w="9360"/>
            <w:tcMar>
              <w:top w:w="80" w:type="dxa"/>
              <w:start w:w="120" w:type="dxa"/>
              <w:bottom w:w="80" w:type="dxa"/>
              <w:end w:w="120" w:type="dxa"/>
            </w:tcMar>
            <w:shd w:fill="F2F4F7"/>
            <w:vAlign w:val="center"/>
          </w:tcPr>
          <w:p>
            <w:r>
              <w:rPr>
                <w:rFonts w:ascii="Calibri" w:hAnsi="Calibri"/>
                <w:b w:val="0"/>
                <w:i w:val="0"/>
                <w:color w:val="172B3A"/>
                <w:sz w:val="18"/>
              </w:rPr>
              <w:t>Next citation task: Open the source PDFs and convert this planning source list into formal APA/AGU-style citations with authors, years, titles, report numbers, journals, and URLs/DOIs where available.</w:t>
            </w:r>
          </w:p>
        </w:tc>
      </w:tr>
    </w:tbl>
    <w:p>
      <w:pPr>
        <w:spacing w:before="0" w:after="20" w:line="283" w:lineRule="auto"/>
      </w:pPr>
      <w:r>
        <w:rPr>
          <w:rFonts w:ascii="Calibri" w:hAnsi="Calibri"/>
          <w:b w:val="0"/>
          <w:i w:val="0"/>
          <w:color w:val="172B3A"/>
          <w:sz w:val="21"/>
        </w:rPr>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770"/>
        <w:sz w:val="17"/>
      </w:rPr>
      <w:t>PUBLIC-SOURCE RESEARCH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167D8D"/>
        <w:sz w:val="17"/>
      </w:rPr>
      <w:t>ALASKA NORTH SLOPE GAS HYDRATE WIRELINE 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23447"/>
      <w:sz w:val="31"/>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67D8D"/>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libri" w:hAnsi="Calibri"/>
      <w:b/>
      <w:bCs/>
      <w:color w:val="12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