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North Slope Gas Hydrate ML Pipeline Status And Forward Workflow</w:t>
      </w:r>
    </w:p>
    <w:p>
      <w:r>
        <w:t>Created: 2026-06-15</w:t>
      </w:r>
    </w:p>
    <w:p>
      <w:pPr>
        <w:pStyle w:val="Heading1"/>
      </w:pPr>
      <w:r>
        <w:t>Purpose</w:t>
      </w:r>
    </w:p>
    <w:p>
      <w:r>
        <w:t>This brief explains where the project stands right now and how the current</w:t>
      </w:r>
    </w:p>
    <w:p>
      <w:r>
        <w:t>work leads to the final machine-learning workflow for North Slope gas hydrate</w:t>
      </w:r>
    </w:p>
    <w:p>
      <w:r>
        <w:t>occurrence and saturation. It is written as a Word-document-ready narrative for</w:t>
      </w:r>
    </w:p>
    <w:p>
      <w:r>
        <w:t>mentor review, project planning, and later alignment with the slide deck.</w:t>
      </w:r>
    </w:p>
    <w:p>
      <w:r>
        <w:t>The project is not claiming a trained model result yet. The current defensible</w:t>
      </w:r>
    </w:p>
    <w:p>
      <w:r>
        <w:t>claim is that the team has built a public-safe scaffold, a cited</w:t>
      </w:r>
    </w:p>
    <w:p>
      <w:r>
        <w:t>pressure-temperature stability-admissibility screen, and the structure for a</w:t>
      </w:r>
    </w:p>
    <w:p>
      <w:r>
        <w:t>future approved-data ML workflow.</w:t>
      </w:r>
    </w:p>
    <w:p>
      <w:pPr>
        <w:pStyle w:val="Heading1"/>
      </w:pPr>
      <w:r>
        <w:t>One-Sentence Status</w:t>
      </w:r>
    </w:p>
    <w:p>
      <w:r>
        <w:t>The project has moved from a general gas-hydrate ML idea into a controlled</w:t>
      </w:r>
    </w:p>
    <w:p>
      <w:r>
        <w:t>workflow: public GitHub/Streamlit explains the method and displays public-safe</w:t>
      </w:r>
    </w:p>
    <w:p>
      <w:r>
        <w:t>stability status, while OpenScienceLab is the heavy-data workbench for source</w:t>
      </w:r>
    </w:p>
    <w:p>
      <w:r>
        <w:t>bundles, guarded calculations, and later approved well-log/core execution.</w:t>
      </w:r>
    </w:p>
    <w:p>
      <w:pPr>
        <w:pStyle w:val="Heading1"/>
      </w:pPr>
      <w:r>
        <w:t>Current Project Position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rFonts w:ascii="Arial" w:hAnsi="Arial"/>
                <w:b/>
                <w:sz w:val="18"/>
              </w:rPr>
              <w:t>Area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b/>
                <w:sz w:val="18"/>
              </w:rPr>
              <w:t>Current status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b/>
                <w:sz w:val="18"/>
              </w:rPr>
              <w:t>What it means</w:t>
            </w:r>
          </w:p>
        </w:tc>
      </w:tr>
      <w:tr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Public delivery surface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GitHub repository and Streamlit app are the public-facing scaffold.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Public users can see source-backed GIS context, diagrams, public CSV summaries, and workflow status.</w:t>
            </w:r>
          </w:p>
        </w:tc>
      </w:tr>
      <w:tr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Heavy-data workbench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OpenScienceLab is the place for raw source bundles, G10015 profile rows, approved runtime inputs, and guarded calculations.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Large or approved data do not need to live in the public repository.</w:t>
            </w:r>
          </w:p>
        </w:tc>
      </w:tr>
      <w:tr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Public well scaffold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The current stability scaffold has 8,084 Arctic Slope public wells.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This is a public screening inventory, not an approved runtime well-log inventory.</w:t>
            </w:r>
          </w:p>
        </w:tc>
      </w:tr>
      <w:tr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Temperature inventory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G10015 intake reports 184 temperature profiles across 24 well codes.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The temperature source layer exists, but raw profile rows remain a workbench/source-bundle input.</w:t>
            </w:r>
          </w:p>
        </w:tc>
      </w:tr>
      <w:tr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Temperature-model product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16,168 key-depth rows: 919 calculated, 387 extrapolated, 15,249 blocked, and 0 final stability results.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This product models temperature inputs only; blocked rows are data-readiness status, not no-hydrate conclusions.</w:t>
            </w:r>
          </w:p>
        </w:tc>
      </w:tr>
      <w:tr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Guarded stability screen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Baseline methane 5 ppt run has 8,084 rows: 22 calculated admissibility intervals, 8 sufficient-input rows with no modeled stable interval, and 8,054 blocked rows.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This is a pressure-temperature admissibility screen only. It is not hydrate proof, saturation, or sweet-spot ranking.</w:t>
            </w:r>
          </w:p>
        </w:tc>
      </w:tr>
      <w:tr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Deliverables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Communication drafts, a weekday report template, a deliverable refresh plan, and a 9-slide local remake draft now exist.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The Word document and slides can now explain the public/OSL split, stability screen, and future ML path consistently.</w:t>
            </w:r>
          </w:p>
        </w:tc>
      </w:tr>
    </w:tbl>
    <w:p/>
    <w:p>
      <w:pPr>
        <w:pStyle w:val="Heading1"/>
      </w:pPr>
      <w:r>
        <w:t>Scientific Target</w:t>
      </w:r>
    </w:p>
    <w:p>
      <w:r>
        <w:t>The working target is pore-filling methane hydrate in sand-rich,</w:t>
      </w:r>
    </w:p>
    <w:p>
      <w:r>
        <w:t>permafrost-associated reservoirs on the Alaska North Slope. That target matters</w:t>
      </w:r>
    </w:p>
    <w:p>
      <w:r>
        <w:t>because it gives the ML workflow a defensible order:</w:t>
      </w:r>
    </w:p>
    <w:p>
      <w:pPr/>
      <w:r>
        <w:rPr>
          <w:rFonts w:ascii="Consolas" w:hAnsi="Consolas"/>
          <w:sz w:val="18"/>
        </w:rPr>
        <w:t>stability context</w:t>
        <w:br/>
        <w:t>-&gt; reservoir quality</w:t>
        <w:br/>
        <w:t>-&gt; hydrate response</w:t>
        <w:br/>
        <w:t>-&gt; occurrence classification and saturation regression</w:t>
      </w:r>
    </w:p>
    <w:p>
      <w:r>
        <w:t>The model should not be asked to "magically find hydrates" from a flat</w:t>
      </w:r>
    </w:p>
    <w:p>
      <w:r>
        <w:t>spreadsheet. It should encode the same sequence a geoscientist would use:</w:t>
      </w:r>
    </w:p>
    <w:p>
      <w:r>
        <w:t>first test whether hydrate could exist, then whether the rock can host it, and</w:t>
      </w:r>
    </w:p>
    <w:p>
      <w:r>
        <w:t>then whether the logs show an electrical, elastic, porosity, NMR, or core</w:t>
      </w:r>
    </w:p>
    <w:p>
      <w:r>
        <w:t>response consistent with hydrate-bearing sediment.</w:t>
      </w:r>
    </w:p>
    <w:p>
      <w:pPr>
        <w:pStyle w:val="Heading1"/>
      </w:pPr>
      <w:r>
        <w:t>Evidence Tiers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rPr>
                <w:rFonts w:ascii="Arial" w:hAnsi="Arial"/>
                <w:b/>
                <w:sz w:val="18"/>
              </w:rPr>
              <w:t>Tier</w:t>
            </w:r>
          </w:p>
        </w:tc>
        <w:tc>
          <w:tcPr>
            <w:tcW w:type="dxa" w:w="2520"/>
          </w:tcPr>
          <w:p>
            <w:r>
              <w:rPr>
                <w:rFonts w:ascii="Arial" w:hAnsi="Arial"/>
                <w:b/>
                <w:sz w:val="18"/>
              </w:rPr>
              <w:t>Main question</w:t>
            </w:r>
          </w:p>
        </w:tc>
        <w:tc>
          <w:tcPr>
            <w:tcW w:type="dxa" w:w="2520"/>
          </w:tcPr>
          <w:p>
            <w:r>
              <w:rPr>
                <w:rFonts w:ascii="Arial" w:hAnsi="Arial"/>
                <w:b/>
                <w:sz w:val="18"/>
              </w:rPr>
              <w:t>Inputs or evidence</w:t>
            </w:r>
          </w:p>
        </w:tc>
        <w:tc>
          <w:tcPr>
            <w:tcW w:type="dxa" w:w="2520"/>
          </w:tcPr>
          <w:p>
            <w:r>
              <w:rPr>
                <w:rFonts w:ascii="Arial" w:hAnsi="Arial"/>
                <w:b/>
                <w:sz w:val="18"/>
              </w:rPr>
              <w:t>ML role</w:t>
            </w:r>
          </w:p>
        </w:tc>
      </w:tr>
      <w:tr>
        <w:tc>
          <w:tcPr>
            <w:tcW w:type="dxa" w:w="2520"/>
          </w:tcPr>
          <w:p>
            <w:r>
              <w:rPr>
                <w:rFonts w:ascii="Arial" w:hAnsi="Arial"/>
                <w:sz w:val="18"/>
              </w:rPr>
              <w:t>Stability context</w:t>
            </w:r>
          </w:p>
        </w:tc>
        <w:tc>
          <w:tcPr>
            <w:tcW w:type="dxa" w:w="2520"/>
          </w:tcPr>
          <w:p>
            <w:r>
              <w:rPr>
                <w:rFonts w:ascii="Arial" w:hAnsi="Arial"/>
                <w:sz w:val="18"/>
              </w:rPr>
              <w:t>Could methane hydrate be stable here?</w:t>
            </w:r>
          </w:p>
        </w:tc>
        <w:tc>
          <w:tcPr>
            <w:tcW w:type="dxa" w:w="2520"/>
          </w:tcPr>
          <w:p>
            <w:r>
              <w:rPr>
                <w:rFonts w:ascii="Arial" w:hAnsi="Arial"/>
                <w:sz w:val="18"/>
              </w:rPr>
              <w:t>Depth, pressure, temperature, permafrost context, phase curve, hydrate AU context.</w:t>
            </w:r>
          </w:p>
        </w:tc>
        <w:tc>
          <w:tcPr>
            <w:tcW w:type="dxa" w:w="2520"/>
          </w:tcPr>
          <w:p>
            <w:r>
              <w:rPr>
                <w:rFonts w:ascii="Arial" w:hAnsi="Arial"/>
                <w:sz w:val="18"/>
              </w:rPr>
              <w:t>Context feature, mask, or reason flag; never hydrate proof by itself.</w:t>
            </w:r>
          </w:p>
        </w:tc>
      </w:tr>
      <w:tr>
        <w:tc>
          <w:tcPr>
            <w:tcW w:type="dxa" w:w="2520"/>
          </w:tcPr>
          <w:p>
            <w:r>
              <w:rPr>
                <w:rFonts w:ascii="Arial" w:hAnsi="Arial"/>
                <w:sz w:val="18"/>
              </w:rPr>
              <w:t>Reservoir quality</w:t>
            </w:r>
          </w:p>
        </w:tc>
        <w:tc>
          <w:tcPr>
            <w:tcW w:type="dxa" w:w="2520"/>
          </w:tcPr>
          <w:p>
            <w:r>
              <w:rPr>
                <w:rFonts w:ascii="Arial" w:hAnsi="Arial"/>
                <w:sz w:val="18"/>
              </w:rPr>
              <w:t>Can the interval host pore-filling hydrate?</w:t>
            </w:r>
          </w:p>
        </w:tc>
        <w:tc>
          <w:tcPr>
            <w:tcW w:type="dxa" w:w="2520"/>
          </w:tcPr>
          <w:p>
            <w:r>
              <w:rPr>
                <w:rFonts w:ascii="Arial" w:hAnsi="Arial"/>
                <w:sz w:val="18"/>
              </w:rPr>
              <w:t>Gamma ray, porosity, density, lithology, caliper QC, core reservoir quality.</w:t>
            </w:r>
          </w:p>
        </w:tc>
        <w:tc>
          <w:tcPr>
            <w:tcW w:type="dxa" w:w="2520"/>
          </w:tcPr>
          <w:p>
            <w:r>
              <w:rPr>
                <w:rFonts w:ascii="Arial" w:hAnsi="Arial"/>
                <w:sz w:val="18"/>
              </w:rPr>
              <w:t>Reservoir gate and feature block.</w:t>
            </w:r>
          </w:p>
        </w:tc>
      </w:tr>
      <w:tr>
        <w:tc>
          <w:tcPr>
            <w:tcW w:type="dxa" w:w="2520"/>
          </w:tcPr>
          <w:p>
            <w:r>
              <w:rPr>
                <w:rFonts w:ascii="Arial" w:hAnsi="Arial"/>
                <w:sz w:val="18"/>
              </w:rPr>
              <w:t>Hydrate response</w:t>
            </w:r>
          </w:p>
        </w:tc>
        <w:tc>
          <w:tcPr>
            <w:tcW w:type="dxa" w:w="2520"/>
          </w:tcPr>
          <w:p>
            <w:r>
              <w:rPr>
                <w:rFonts w:ascii="Arial" w:hAnsi="Arial"/>
                <w:sz w:val="18"/>
              </w:rPr>
              <w:t>Does the interval behave like hydrate-bearing sediment?</w:t>
            </w:r>
          </w:p>
        </w:tc>
        <w:tc>
          <w:tcPr>
            <w:tcW w:type="dxa" w:w="2520"/>
          </w:tcPr>
          <w:p>
            <w:r>
              <w:rPr>
                <w:rFonts w:ascii="Arial" w:hAnsi="Arial"/>
                <w:sz w:val="18"/>
              </w:rPr>
              <w:t>Resistivity, `V_p`, `V_s`, `V_p/V_s`, acoustic impedance, `lambda-rho`, `mu-rho`, NMR/core support.</w:t>
            </w:r>
          </w:p>
        </w:tc>
        <w:tc>
          <w:tcPr>
            <w:tcW w:type="dxa" w:w="2520"/>
          </w:tcPr>
          <w:p>
            <w:r>
              <w:rPr>
                <w:rFonts w:ascii="Arial" w:hAnsi="Arial"/>
                <w:sz w:val="18"/>
              </w:rPr>
              <w:t>Main multilog response block for occurrence and saturation models.</w:t>
            </w:r>
          </w:p>
        </w:tc>
      </w:tr>
      <w:tr>
        <w:tc>
          <w:tcPr>
            <w:tcW w:type="dxa" w:w="2520"/>
          </w:tcPr>
          <w:p>
            <w:r>
              <w:rPr>
                <w:rFonts w:ascii="Arial" w:hAnsi="Arial"/>
                <w:sz w:val="18"/>
              </w:rPr>
              <w:t>Targets and validation</w:t>
            </w:r>
          </w:p>
        </w:tc>
        <w:tc>
          <w:tcPr>
            <w:tcW w:type="dxa" w:w="2520"/>
          </w:tcPr>
          <w:p>
            <w:r>
              <w:rPr>
                <w:rFonts w:ascii="Arial" w:hAnsi="Arial"/>
                <w:sz w:val="18"/>
              </w:rPr>
              <w:t>What is the answer column?</w:t>
            </w:r>
          </w:p>
        </w:tc>
        <w:tc>
          <w:tcPr>
            <w:tcW w:type="dxa" w:w="2520"/>
          </w:tcPr>
          <w:p>
            <w:r>
              <w:rPr>
                <w:rFonts w:ascii="Arial" w:hAnsi="Arial"/>
                <w:sz w:val="18"/>
              </w:rPr>
              <w:t>`S_h`, `Sgh`, `NMR_SAT`, phase labels, interpreted saturation, core/NMR calibration.</w:t>
            </w:r>
          </w:p>
        </w:tc>
        <w:tc>
          <w:tcPr>
            <w:tcW w:type="dxa" w:w="2520"/>
          </w:tcPr>
          <w:p>
            <w:r>
              <w:rPr>
                <w:rFonts w:ascii="Arial" w:hAnsi="Arial"/>
                <w:sz w:val="18"/>
              </w:rPr>
              <w:t>Targets, calibration references, or validation overlays only; excluded from predictors.</w:t>
            </w:r>
          </w:p>
        </w:tc>
      </w:tr>
    </w:tbl>
    <w:p/>
    <w:p>
      <w:pPr>
        <w:pStyle w:val="Heading1"/>
      </w:pPr>
      <w:r>
        <w:t>Why Stability Was Built First</w:t>
      </w:r>
    </w:p>
    <w:p>
      <w:r>
        <w:t>Gas hydrate stability is necessary but not sufficient. A pressure-temperature</w:t>
      </w:r>
    </w:p>
    <w:p>
      <w:r>
        <w:t>screen can say where hydrate could be stable under a stated set of assumptions,</w:t>
      </w:r>
    </w:p>
    <w:p>
      <w:r>
        <w:t>but it cannot prove occurrence, estimate saturation, or rank sweet spots. That</w:t>
      </w:r>
    </w:p>
    <w:p>
      <w:r>
        <w:t>is why the stability workflow was built as a guarded admissibility layer.</w:t>
      </w:r>
    </w:p>
    <w:p>
      <w:r>
        <w:t>The current baseline uses:</w:t>
      </w:r>
    </w:p>
    <w:p>
      <w:pPr>
        <w:pStyle w:val="ListBullet"/>
      </w:pPr>
      <w:r>
        <w:t>public well coordinates and depth fields;</w:t>
      </w:r>
    </w:p>
    <w:p>
      <w:pPr>
        <w:pStyle w:val="ListBullet"/>
      </w:pPr>
      <w:r>
        <w:t>public permafrost and temperature controls from GGD223 and G10015;</w:t>
      </w:r>
    </w:p>
    <w:p>
      <w:pPr>
        <w:pStyle w:val="ListBullet"/>
      </w:pPr>
      <w:r>
        <w:t>a hydrostatic pressure assumption;</w:t>
      </w:r>
    </w:p>
    <w:p>
      <w:pPr>
        <w:pStyle w:val="ListBullet"/>
      </w:pPr>
      <w:r>
        <w:t>a digitized USGS SIR 2008 methane hydrate phase boundary for 100 percent</w:t>
      </w:r>
    </w:p>
    <w:p>
      <w:r>
        <w:t>methane and 5 ppt salinity;</w:t>
      </w:r>
    </w:p>
    <w:p>
      <w:pPr>
        <w:pStyle w:val="ListBullet"/>
      </w:pPr>
      <w:r>
        <w:t>source-control confidence labels; and</w:t>
      </w:r>
    </w:p>
    <w:p>
      <w:pPr>
        <w:pStyle w:val="ListBullet"/>
      </w:pPr>
      <w:r>
        <w:t>a guarded writer that leaves rows null when required gates do not pass.</w:t>
      </w:r>
    </w:p>
    <w:p>
      <w:r>
        <w:t>The screen result should be described as:</w:t>
      </w:r>
    </w:p>
    <w:p>
      <w:pPr/>
      <w:r>
        <w:rPr>
          <w:rFonts w:ascii="Consolas" w:hAnsi="Consolas"/>
          <w:sz w:val="18"/>
        </w:rPr>
        <w:t>pressure-temperature stability-admissibility under the selected methane 5 ppt</w:t>
        <w:br/>
        <w:t>baseline</w:t>
      </w:r>
    </w:p>
    <w:p>
      <w:r>
        <w:t>It should not be described as:</w:t>
      </w:r>
    </w:p>
    <w:p>
      <w:pPr/>
      <w:r>
        <w:rPr>
          <w:rFonts w:ascii="Consolas" w:hAnsi="Consolas"/>
          <w:sz w:val="18"/>
        </w:rPr>
        <w:t>hydrate proof, saturation, occurrence probability, sweet spot, or final ML</w:t>
        <w:br/>
        <w:t>prediction</w:t>
      </w:r>
    </w:p>
    <w:p>
      <w:pPr>
        <w:pStyle w:val="Heading1"/>
      </w:pPr>
      <w:r>
        <w:t>Public Repository Versus Approved Runtime Boundary</w:t>
      </w:r>
    </w:p>
    <w:p>
      <w:r>
        <w:t>The project has two workspaces because the final science depends on approved</w:t>
      </w:r>
    </w:p>
    <w:p>
      <w:r>
        <w:t>well-log and core data that cannot be placed in public GitHub or a public</w:t>
      </w:r>
    </w:p>
    <w:p>
      <w:r>
        <w:t>Streamlit app.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rFonts w:ascii="Arial" w:hAnsi="Arial"/>
                <w:b/>
                <w:sz w:val="18"/>
              </w:rPr>
              <w:t>Workspace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b/>
                <w:sz w:val="18"/>
              </w:rPr>
              <w:t>Allowed content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b/>
                <w:sz w:val="18"/>
              </w:rPr>
              <w:t>Not allowed</w:t>
            </w:r>
          </w:p>
        </w:tc>
      </w:tr>
      <w:tr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Public GitHub / Streamlit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Public sources, public GIS, public stability summaries, source-backed diagrams, synthetic examples, empty runtime adapters, documentation, and reviewed public-safe outputs.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Approved LAS/CSV/core rows, restricted identifiers, populated runtime configs, trained models, private labels, or derived sensitive results.</w:t>
            </w:r>
          </w:p>
        </w:tc>
      </w:tr>
      <w:tr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OpenScienceLab / authorized runtime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Raw source bundles, approved logs/core/NMR, source calculations, target mapping, model training, validation, and runtime outputs.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Public release without review and public-safe reduction.</w:t>
            </w:r>
          </w:p>
        </w:tc>
      </w:tr>
    </w:tbl>
    <w:p/>
    <w:p>
      <w:r>
        <w:t>The deliverable language should make this boundary visible. The public side is</w:t>
      </w:r>
    </w:p>
    <w:p>
      <w:r>
        <w:t>where the method and status are explained. The runtime side is where the final</w:t>
      </w:r>
    </w:p>
    <w:p>
      <w:r>
        <w:t>approved-data execution happens.</w:t>
      </w:r>
    </w:p>
    <w:p>
      <w:pPr>
        <w:pStyle w:val="Heading1"/>
      </w:pPr>
      <w:r>
        <w:t>Detailed Forward ML Pipeline</w:t>
      </w:r>
    </w:p>
    <w:p>
      <w:r>
        <w:t>The recommended baseline architecture is:</w:t>
      </w:r>
    </w:p>
    <w:p>
      <w:pPr/>
      <w:r>
        <w:rPr>
          <w:rFonts w:ascii="Consolas" w:hAnsi="Consolas"/>
          <w:sz w:val="18"/>
        </w:rPr>
        <w:t>approved LAS/CSV/core/NMR inputs</w:t>
        <w:br/>
        <w:t>-&gt; preserve raw headers, mnemonics, units, and source roles</w:t>
        <w:br/>
        <w:t>-&gt; map aliases to canonical fields</w:t>
        <w:br/>
        <w:t>-&gt; convert units while retaining originals</w:t>
        <w:br/>
        <w:t>-&gt; align logs, core, NMR, and labels by depth</w:t>
        <w:br/>
        <w:t>-&gt; run QC and missingness review</w:t>
        <w:br/>
        <w:t>-&gt; compute physics-derived features</w:t>
        <w:br/>
        <w:t>-&gt; add stability and reservoir context</w:t>
        <w:br/>
        <w:t>-&gt; build target registry and leakage barrier</w:t>
        <w:br/>
        <w:t>-&gt; split by complete wells or compartments</w:t>
        <w:br/>
        <w:t>-&gt; fit train-only preprocessing</w:t>
        <w:br/>
        <w:t>-&gt; train occurrence classifier</w:t>
        <w:br/>
        <w:t>-&gt; train saturation regressor</w:t>
        <w:br/>
        <w:t>-&gt; export probability, saturation, uncertainty, QC, mimic, and review flags</w:t>
      </w:r>
    </w:p>
    <w:p>
      <w:pPr>
        <w:pStyle w:val="Heading2"/>
      </w:pPr>
      <w:r>
        <w:t>Step 1: Approved Inputs And Header Preservation</w:t>
      </w:r>
    </w:p>
    <w:p>
      <w:r>
        <w:t>The starting point is not a clean ML table. The approved environment will</w:t>
      </w:r>
    </w:p>
    <w:p>
      <w:r>
        <w:t>contain LAS, CSV, workbook, NMR, and core-related inputs with mixed headers,</w:t>
      </w:r>
    </w:p>
    <w:p>
      <w:r>
        <w:t>units, mnemonics, and sampling depths. The runtime must first preserve the raw</w:t>
      </w:r>
    </w:p>
    <w:p>
      <w:r>
        <w:t>field name, source unit, source mnemonic, schema role, and source file before</w:t>
      </w:r>
    </w:p>
    <w:p>
      <w:r>
        <w:t>any conversion.</w:t>
      </w:r>
    </w:p>
    <w:p>
      <w:r>
        <w:t>This matters because fields that look similar can have different roles. For</w:t>
      </w:r>
    </w:p>
    <w:p>
      <w:r>
        <w:t>example, `NMRPHI` may be a measured porosity input, while `NMR_SAT`, `Sgh`, or</w:t>
      </w:r>
    </w:p>
    <w:p>
      <w:r>
        <w:t>`S_h` may be target or calibration fields. The pipeline must fail closed: if a</w:t>
      </w:r>
    </w:p>
    <w:p>
      <w:r>
        <w:t>field might be target-derived, it is excluded from predictors until provenance</w:t>
      </w:r>
    </w:p>
    <w:p>
      <w:r>
        <w:t>is confirmed.</w:t>
      </w:r>
    </w:p>
    <w:p>
      <w:pPr>
        <w:pStyle w:val="Heading2"/>
      </w:pPr>
      <w:r>
        <w:t>Step 2: Unit Normalization And Depth Alignment</w:t>
      </w:r>
    </w:p>
    <w:p>
      <w:r>
        <w:t>The runtime converts depth, density, velocity, resistivity, porosity, caliper,</w:t>
      </w:r>
    </w:p>
    <w:p>
      <w:r>
        <w:t>and derived features into canonical units while retaining original values and</w:t>
      </w:r>
    </w:p>
    <w:p>
      <w:r>
        <w:t>units for audit. Depth alignment must keep track of source depth, aligned depth,</w:t>
      </w:r>
    </w:p>
    <w:p>
      <w:r>
        <w:t>matching method, and offset.</w:t>
      </w:r>
    </w:p>
    <w:p>
      <w:r>
        <w:t>This step prevents false precision. Core, NMR, logs, and interpreted labels do</w:t>
      </w:r>
    </w:p>
    <w:p>
      <w:r>
        <w:t>not necessarily sample the same interval thickness. A nearest-depth match is</w:t>
      </w:r>
    </w:p>
    <w:p>
      <w:r>
        <w:t>useful only if the offset and matching rule are recorded.</w:t>
      </w:r>
    </w:p>
    <w:p>
      <w:pPr>
        <w:pStyle w:val="Heading2"/>
      </w:pPr>
      <w:r>
        <w:t>Step 3: QC, Missingness, And Bad-Hole Review</w:t>
      </w:r>
    </w:p>
    <w:p>
      <w:r>
        <w:t>Caliper and differential caliper belong to QC, not hydrate evidence. When bit</w:t>
      </w:r>
    </w:p>
    <w:p>
      <w:r>
        <w:t>size and units are confirmed, the runtime can apply source-defined washout</w:t>
      </w:r>
    </w:p>
    <w:p>
      <w:r>
        <w:t>rules. Until then, caliper supports relative QC flags and suspicious-curve</w:t>
      </w:r>
    </w:p>
    <w:p>
      <w:r>
        <w:t>review.</w:t>
      </w:r>
    </w:p>
    <w:p>
      <w:r>
        <w:t>QC outputs should include exclusion flags, downweight flags, missingness flags,</w:t>
      </w:r>
    </w:p>
    <w:p>
      <w:r>
        <w:t>and reason notes. The model should not silently delete intervals or treat</w:t>
      </w:r>
    </w:p>
    <w:p>
      <w:r>
        <w:t>missing-log imputation as measured data.</w:t>
      </w:r>
    </w:p>
    <w:p>
      <w:pPr>
        <w:pStyle w:val="Heading2"/>
      </w:pPr>
      <w:r>
        <w:t>Step 4: Measured Log Feature Block</w:t>
      </w:r>
    </w:p>
    <w:p>
      <w:r>
        <w:t>The first predictor block should use measured or supplied logs after unit</w:t>
      </w:r>
    </w:p>
    <w:p>
      <w:r>
        <w:t>checks and QC:</w:t>
      </w:r>
    </w:p>
    <w:p>
      <w:pPr>
        <w:pStyle w:val="ListBullet"/>
      </w:pPr>
      <w:r>
        <w:t>gamma ray `GR`;</w:t>
      </w:r>
    </w:p>
    <w:p>
      <w:pPr>
        <w:pStyle w:val="ListBullet"/>
      </w:pPr>
      <w:r>
        <w:t>bulk density `RHOB`;</w:t>
      </w:r>
    </w:p>
    <w:p>
      <w:pPr>
        <w:pStyle w:val="ListBullet"/>
      </w:pPr>
      <w:r>
        <w:t>density and neutron porosity;</w:t>
      </w:r>
    </w:p>
    <w:p>
      <w:pPr>
        <w:pStyle w:val="ListBullet"/>
      </w:pPr>
      <w:r>
        <w:t>measured NMR porosity where available;</w:t>
      </w:r>
    </w:p>
    <w:p>
      <w:pPr>
        <w:pStyle w:val="ListBullet"/>
      </w:pPr>
      <w:r>
        <w:t>deep resistivity `R_t` with source mnemonic retained;</w:t>
      </w:r>
    </w:p>
    <w:p>
      <w:pPr>
        <w:pStyle w:val="ListBullet"/>
      </w:pPr>
      <w:r>
        <w:t>compressional velocity `V_p`;</w:t>
      </w:r>
    </w:p>
    <w:p>
      <w:pPr>
        <w:pStyle w:val="ListBullet"/>
      </w:pPr>
      <w:r>
        <w:t>shear velocity `V_s`;</w:t>
      </w:r>
    </w:p>
    <w:p>
      <w:pPr>
        <w:pStyle w:val="ListBullet"/>
      </w:pPr>
      <w:r>
        <w:t>depth and approved context fields.</w:t>
      </w:r>
    </w:p>
    <w:p>
      <w:r>
        <w:t>These features are interpretable and match the direct and comparative hydrate</w:t>
      </w:r>
    </w:p>
    <w:p>
      <w:r>
        <w:t>ML literature. They are still non-unique: high resistivity, low gamma ray, or</w:t>
      </w:r>
    </w:p>
    <w:p>
      <w:r>
        <w:t>high velocity cannot prove hydrate by themselves.</w:t>
      </w:r>
    </w:p>
    <w:p>
      <w:pPr>
        <w:pStyle w:val="Heading2"/>
      </w:pPr>
      <w:r>
        <w:t>Step 5: Physics-Derived Feature Block</w:t>
      </w:r>
    </w:p>
    <w:p>
      <w:r>
        <w:t>After measured logs pass unit and QC checks, the runtime can calculate derived</w:t>
      </w:r>
    </w:p>
    <w:p>
      <w:r>
        <w:t>features:</w:t>
      </w:r>
    </w:p>
    <w:p>
      <w:pPr/>
      <w:r>
        <w:rPr>
          <w:rFonts w:ascii="Consolas" w:hAnsi="Consolas"/>
          <w:sz w:val="18"/>
        </w:rPr>
        <w:t>V_p/V_s</w:t>
        <w:br/>
        <w:t>acoustic impedance = rho_b * V_p</w:t>
        <w:br/>
        <w:t>G = rho * V_s^2</w:t>
        <w:br/>
        <w:t>K = rho * (V_p^2 - 4/3 * V_s^2)</w:t>
        <w:br/>
        <w:t>E = 9KG / (3K + G)</w:t>
        <w:br/>
        <w:t>nu = (3K - 2G) / (2(3K + G))</w:t>
        <w:br/>
        <w:t>lambda = K - 2/3G</w:t>
        <w:br/>
        <w:t>mu = G</w:t>
        <w:br/>
        <w:t>lambda-rho = lambda * rho</w:t>
        <w:br/>
        <w:t>mu-rho = mu * rho</w:t>
      </w:r>
    </w:p>
    <w:p>
      <w:r>
        <w:t>These features matter because pore-filling hydrate can stiffen the sediment</w:t>
      </w:r>
    </w:p>
    <w:p>
      <w:r>
        <w:t>frame. Resistivity can be high for hydrate, free gas, ice, tight rock, cement,</w:t>
      </w:r>
    </w:p>
    <w:p>
      <w:r>
        <w:t>or salinity effects, so elastic features such as `V_s`, shear modulus, and</w:t>
      </w:r>
    </w:p>
    <w:p>
      <w:r>
        <w:t>`mu-rho` help separate hydrate-like stiffness from resistivity-only mimics.</w:t>
      </w:r>
    </w:p>
    <w:p>
      <w:r>
        <w:t>Derived features inherit every error from the source curves. If density,</w:t>
      </w:r>
    </w:p>
    <w:p>
      <w:r>
        <w:t>`V_p`, or `V_s` fails QC, the derived features must be flagged or withheld.</w:t>
      </w:r>
    </w:p>
    <w:p>
      <w:pPr>
        <w:pStyle w:val="Heading2"/>
      </w:pPr>
      <w:r>
        <w:t>Step 6: Stability And Reservoir Context</w:t>
      </w:r>
    </w:p>
    <w:p>
      <w:r>
        <w:t>The public stability screen becomes a context layer for the approved runtime.</w:t>
      </w:r>
    </w:p>
    <w:p>
      <w:r>
        <w:t>It can become a feature, mask, reason flag, or interpretation context, but it</w:t>
      </w:r>
    </w:p>
    <w:p>
      <w:r>
        <w:t>does not become a hydrate label.</w:t>
      </w:r>
    </w:p>
    <w:p>
      <w:r>
        <w:t>Reservoir context works the same way. Clean sand, low shale response, porosity,</w:t>
      </w:r>
    </w:p>
    <w:p>
      <w:r>
        <w:t>and reservoir-quality core can support the target interpretation, but a clean</w:t>
      </w:r>
    </w:p>
    <w:p>
      <w:r>
        <w:t>sand inside the stability window still is not automatically hydrate-bearing.</w:t>
      </w:r>
    </w:p>
    <w:p>
      <w:pPr>
        <w:pStyle w:val="Heading2"/>
      </w:pPr>
      <w:r>
        <w:t>Step 7: Target Registry And Leakage Barrier</w:t>
      </w:r>
    </w:p>
    <w:p>
      <w:r>
        <w:t>Before modeling, every possible answer column must be classified: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rFonts w:ascii="Arial" w:hAnsi="Arial"/>
                <w:b/>
                <w:sz w:val="18"/>
              </w:rPr>
              <w:t>Field family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b/>
                <w:sz w:val="18"/>
              </w:rPr>
              <w:t>Role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b/>
                <w:sz w:val="18"/>
              </w:rPr>
              <w:t>Predictor status</w:t>
            </w:r>
          </w:p>
        </w:tc>
      </w:tr>
      <w:tr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`S_h`, `Sgh`, hydrate saturation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Regression target or calibration target.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Excluded from predictors.</w:t>
            </w:r>
          </w:p>
        </w:tc>
      </w:tr>
      <w:tr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`NMR_SAT` or NMR-derived saturation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Target or calibration reference unless proven to be measured porosity.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Excluded from predictors.</w:t>
            </w:r>
          </w:p>
        </w:tc>
      </w:tr>
      <w:tr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Phase or occurrence label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Classification target.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Excluded from predictors.</w:t>
            </w:r>
          </w:p>
        </w:tc>
      </w:tr>
      <w:tr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Core lithology or reservoir label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Calibration, validation, or independent context depending on source.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Allowed only if independent of target interpretation.</w:t>
            </w:r>
          </w:p>
        </w:tc>
      </w:tr>
      <w:tr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Permeability or producibility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Separate downstream output.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Not an occurrence or saturation label.</w:t>
            </w:r>
          </w:p>
        </w:tc>
      </w:tr>
    </w:tbl>
    <w:p/>
    <w:p>
      <w:r>
        <w:t>This is the leakage barrier. It prevents the model from learning the answer</w:t>
      </w:r>
    </w:p>
    <w:p>
      <w:r>
        <w:t>column or using a field derived from the answer as if it were an independent</w:t>
      </w:r>
    </w:p>
    <w:p>
      <w:r>
        <w:t>predictor.</w:t>
      </w:r>
    </w:p>
    <w:p>
      <w:pPr>
        <w:pStyle w:val="Heading2"/>
      </w:pPr>
      <w:r>
        <w:t>Step 8: Model Ladder</w:t>
      </w:r>
    </w:p>
    <w:p>
      <w:r>
        <w:t>The first implementation should be baseline-first. Advanced models become</w:t>
      </w:r>
    </w:p>
    <w:p>
      <w:r>
        <w:t>defensible only after inputs, targets, QC, and splits are controlled.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rFonts w:ascii="Arial" w:hAnsi="Arial"/>
                <w:b/>
                <w:sz w:val="18"/>
              </w:rPr>
              <w:t>Model stage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b/>
                <w:sz w:val="18"/>
              </w:rPr>
              <w:t>Purpose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b/>
                <w:sz w:val="18"/>
              </w:rPr>
              <w:t>Why it belongs</w:t>
            </w:r>
          </w:p>
        </w:tc>
      </w:tr>
      <w:tr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Physics/rule baseline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Transparent benchmark using stability, reservoir, resistivity, acoustic, and Archie-style logic.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Catches feature mistakes and gives a scientific comparison.</w:t>
            </w:r>
          </w:p>
        </w:tc>
      </w:tr>
      <w:tr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Simple supervised baseline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Logistic/linear/SGD style check.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Easy to explain and useful for leakage detection.</w:t>
            </w:r>
          </w:p>
        </w:tc>
      </w:tr>
      <w:tr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Tree-based model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Random forest or gradient boosting for tabular log interactions.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Handles nonlinear feature combinations and gives diagnostic importance patterns.</w:t>
            </w:r>
          </w:p>
        </w:tc>
      </w:tr>
      <w:tr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ANN/MLP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Directly matches the main hydrate ML analogue.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Can learn nonlinear saturation response when enough labeled wells exist.</w:t>
            </w:r>
          </w:p>
        </w:tc>
      </w:tr>
      <w:tr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Optional sequence model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LSTM or depth-sequence model only if continuous depth sequences and grouped validation support it.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Uses vertical pattern, but has high leakage risk.</w:t>
            </w:r>
          </w:p>
        </w:tc>
      </w:tr>
      <w:tr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Optional missing-log adapter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Predicts missing `V_p`, `RHOB`, or other curves only as a provenance-flagged support layer.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Expands feature coverage but must not be treated as measured data.</w:t>
            </w:r>
          </w:p>
        </w:tc>
      </w:tr>
    </w:tbl>
    <w:p/>
    <w:p>
      <w:r>
        <w:t>The recommended final shape is two linked outputs:</w:t>
      </w:r>
    </w:p>
    <w:p>
      <w:pPr/>
      <w:r>
        <w:rPr>
          <w:rFonts w:ascii="Consolas" w:hAnsi="Consolas"/>
          <w:sz w:val="18"/>
        </w:rPr>
        <w:t>occurrence classifier</w:t>
        <w:br/>
        <w:t>+ saturation regressor</w:t>
        <w:br/>
        <w:t>+ uncertainty / QC / reason flags</w:t>
      </w:r>
    </w:p>
    <w:p>
      <w:r>
        <w:t>Occurrence and saturation should stay separate. A model can predict that an</w:t>
      </w:r>
    </w:p>
    <w:p>
      <w:r>
        <w:t>interval is likely hydrate-bearing, and a second model can estimate saturation</w:t>
      </w:r>
    </w:p>
    <w:p>
      <w:r>
        <w:t>where the occurrence/context logic supports that interpretation.</w:t>
      </w:r>
    </w:p>
    <w:p>
      <w:pPr>
        <w:pStyle w:val="Heading2"/>
      </w:pPr>
      <w:r>
        <w:t>Step 9: Validation</w:t>
      </w:r>
    </w:p>
    <w:p>
      <w:r>
        <w:t>Final validation should use complete-well or compartment holdouts, not random</w:t>
      </w:r>
    </w:p>
    <w:p>
      <w:r>
        <w:t>depth rows as final evidence. Depth rows from one well are correlated. Random</w:t>
      </w:r>
    </w:p>
    <w:p>
      <w:r>
        <w:t>row splits can make the model look better than it will be on new wells.</w:t>
      </w:r>
    </w:p>
    <w:p>
      <w:r>
        <w:t>Validation must:</w:t>
      </w:r>
    </w:p>
    <w:p>
      <w:pPr>
        <w:pStyle w:val="ListBullet"/>
      </w:pPr>
      <w:r>
        <w:t>split wells before fitting scalers, imputers, feature selectors, or models;</w:t>
      </w:r>
    </w:p>
    <w:p>
      <w:pPr>
        <w:pStyle w:val="ListBullet"/>
      </w:pPr>
      <w:r>
        <w:t>fit preprocessing on training wells only;</w:t>
      </w:r>
    </w:p>
    <w:p>
      <w:pPr>
        <w:pStyle w:val="ListBullet"/>
      </w:pPr>
      <w:r>
        <w:t>report occurrence and saturation performance separately;</w:t>
      </w:r>
    </w:p>
    <w:p>
      <w:pPr>
        <w:pStyle w:val="ListBullet"/>
      </w:pPr>
      <w:r>
        <w:t>compare known-well outputs against NMR, core, interpreted saturation, and</w:t>
      </w:r>
    </w:p>
    <w:p>
      <w:r>
        <w:t>phase labels where approved;</w:t>
      </w:r>
    </w:p>
    <w:p>
      <w:pPr>
        <w:pStyle w:val="ListBullet"/>
      </w:pPr>
      <w:r>
        <w:t>review residuals by well, depth, reservoir class, QC status, and missing-log</w:t>
      </w:r>
    </w:p>
    <w:p>
      <w:r>
        <w:t>route;</w:t>
      </w:r>
    </w:p>
    <w:p>
      <w:pPr>
        <w:pStyle w:val="ListBullet"/>
      </w:pPr>
      <w:r>
        <w:t>flag out-of-distribution intervals and generated-feature routes.</w:t>
      </w:r>
    </w:p>
    <w:p>
      <w:pPr>
        <w:pStyle w:val="Heading2"/>
      </w:pPr>
      <w:r>
        <w:t>Step 10: Outputs</w:t>
      </w:r>
    </w:p>
    <w:p>
      <w:r>
        <w:t>The final approved-environment workflow should export: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rFonts w:ascii="Arial" w:hAnsi="Arial"/>
                <w:b/>
                <w:sz w:val="18"/>
              </w:rPr>
              <w:t>Output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b/>
                <w:sz w:val="18"/>
              </w:rPr>
              <w:t>Meaning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b/>
                <w:sz w:val="18"/>
              </w:rPr>
              <w:t>Guardrail</w:t>
            </w:r>
          </w:p>
        </w:tc>
      </w:tr>
      <w:tr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Occurrence probability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Classifier estimate that an interval is hydrate-bearing.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Not saturation, proof, or producibility.</w:t>
            </w:r>
          </w:p>
        </w:tc>
      </w:tr>
      <w:tr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Saturation estimate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Continuous hydrate saturation estimate.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Not an occurrence label by itself.</w:t>
            </w:r>
          </w:p>
        </w:tc>
      </w:tr>
      <w:tr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Uncertainty or confidence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Model, feature, QC, target, and source-control status.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Not a guarantee.</w:t>
            </w:r>
          </w:p>
        </w:tc>
      </w:tr>
      <w:tr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QC status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Bad-hole, missingness, depth, and outlier review.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Not hydrate evidence.</w:t>
            </w:r>
          </w:p>
        </w:tc>
      </w:tr>
      <w:tr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Reason flags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Feature families supporting or weakening the prediction.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Not causal proof.</w:t>
            </w:r>
          </w:p>
        </w:tc>
      </w:tr>
      <w:tr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Mimic flags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Gas, ice, cement, shale, tight rock, bad-hole, or missing-feature risk.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Not final rejection by itself.</w:t>
            </w:r>
          </w:p>
        </w:tc>
      </w:tr>
      <w:tr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Review exports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Plots, tables, GIS links, and manuscript figures.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Public release only after boundary review.</w:t>
            </w:r>
          </w:p>
        </w:tc>
      </w:tr>
    </w:tbl>
    <w:p/>
    <w:p>
      <w:pPr>
        <w:pStyle w:val="Heading1"/>
      </w:pPr>
      <w:r>
        <w:t>Source Basis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rFonts w:ascii="Arial" w:hAnsi="Arial"/>
                <w:b/>
                <w:sz w:val="18"/>
              </w:rPr>
              <w:t>Source family</w:t>
            </w:r>
          </w:p>
        </w:tc>
        <w:tc>
          <w:tcPr>
            <w:tcW w:type="dxa" w:w="5040"/>
          </w:tcPr>
          <w:p>
            <w:r>
              <w:rPr>
                <w:rFonts w:ascii="Arial" w:hAnsi="Arial"/>
                <w:b/>
                <w:sz w:val="18"/>
              </w:rPr>
              <w:t>Role in this project</w:t>
            </w:r>
          </w:p>
        </w:tc>
      </w:tr>
      <w:tr>
        <w:tc>
          <w:tcPr>
            <w:tcW w:type="dxa" w:w="5040"/>
          </w:tcPr>
          <w:p>
            <w:r>
              <w:rPr>
                <w:rFonts w:ascii="Arial" w:hAnsi="Arial"/>
                <w:sz w:val="18"/>
              </w:rPr>
              <w:t>USGS, DOE, and NETL gas hydrate sources</w:t>
            </w:r>
          </w:p>
        </w:tc>
        <w:tc>
          <w:tcPr>
            <w:tcW w:type="dxa" w:w="5040"/>
          </w:tcPr>
          <w:p>
            <w:r>
              <w:rPr>
                <w:rFonts w:ascii="Arial" w:hAnsi="Arial"/>
                <w:sz w:val="18"/>
              </w:rPr>
              <w:t>Hydrate definition, North Slope context, and the rule that pressure, temperature, salinity, and gas composition control stability.</w:t>
            </w:r>
          </w:p>
        </w:tc>
      </w:tr>
      <w:tr>
        <w:tc>
          <w:tcPr>
            <w:tcW w:type="dxa" w:w="5040"/>
          </w:tcPr>
          <w:p>
            <w:r>
              <w:rPr>
                <w:rFonts w:ascii="Arial" w:hAnsi="Arial"/>
                <w:sz w:val="18"/>
              </w:rPr>
              <w:t>USGS SIR 2008-5175</w:t>
            </w:r>
          </w:p>
        </w:tc>
        <w:tc>
          <w:tcPr>
            <w:tcW w:type="dxa" w:w="5040"/>
          </w:tcPr>
          <w:p>
            <w:r>
              <w:rPr>
                <w:rFonts w:ascii="Arial" w:hAnsi="Arial"/>
                <w:sz w:val="18"/>
              </w:rPr>
              <w:t>Method anchor for intersecting wellbore temperature profiles with a methane hydrate phase boundary.</w:t>
            </w:r>
          </w:p>
        </w:tc>
      </w:tr>
      <w:tr>
        <w:tc>
          <w:tcPr>
            <w:tcW w:type="dxa" w:w="5040"/>
          </w:tcPr>
          <w:p>
            <w:r>
              <w:rPr>
                <w:rFonts w:ascii="Arial" w:hAnsi="Arial"/>
                <w:sz w:val="18"/>
              </w:rPr>
              <w:t>NSIDC GGD223 and G10015</w:t>
            </w:r>
          </w:p>
        </w:tc>
        <w:tc>
          <w:tcPr>
            <w:tcW w:type="dxa" w:w="5040"/>
          </w:tcPr>
          <w:p>
            <w:r>
              <w:rPr>
                <w:rFonts w:ascii="Arial" w:hAnsi="Arial"/>
                <w:sz w:val="18"/>
              </w:rPr>
              <w:t>Public permafrost-depth controls and processed Arctic Slope temperature profiles.</w:t>
            </w:r>
          </w:p>
        </w:tc>
      </w:tr>
      <w:tr>
        <w:tc>
          <w:tcPr>
            <w:tcW w:type="dxa" w:w="5040"/>
          </w:tcPr>
          <w:p>
            <w:r>
              <w:rPr>
                <w:rFonts w:ascii="Arial" w:hAnsi="Arial"/>
                <w:sz w:val="18"/>
              </w:rPr>
              <w:t>USGS OM-222</w:t>
            </w:r>
          </w:p>
        </w:tc>
        <w:tc>
          <w:tcPr>
            <w:tcW w:type="dxa" w:w="5040"/>
          </w:tcPr>
          <w:p>
            <w:r>
              <w:rPr>
                <w:rFonts w:ascii="Arial" w:hAnsi="Arial"/>
                <w:sz w:val="18"/>
              </w:rPr>
              <w:t>Preferred future mapped base-of-ice-bearing-permafrost surface after digitizing/georeferencing.</w:t>
            </w:r>
          </w:p>
        </w:tc>
      </w:tr>
      <w:tr>
        <w:tc>
          <w:tcPr>
            <w:tcW w:type="dxa" w:w="5040"/>
          </w:tcPr>
          <w:p>
            <w:r>
              <w:rPr>
                <w:rFonts w:ascii="Arial" w:hAnsi="Arial"/>
                <w:sz w:val="18"/>
              </w:rPr>
              <w:t>Lee and Collett (2011), Haines et al. (2022), Aung et al. (2026), Yoneda et al. (2026)</w:t>
            </w:r>
          </w:p>
        </w:tc>
        <w:tc>
          <w:tcPr>
            <w:tcW w:type="dxa" w:w="5040"/>
          </w:tcPr>
          <w:p>
            <w:r>
              <w:rPr>
                <w:rFonts w:ascii="Arial" w:hAnsi="Arial"/>
                <w:sz w:val="18"/>
              </w:rPr>
              <w:t>North Slope hydrate, log-response, NMR/core, reservoir, QC, and producibility context.</w:t>
            </w:r>
          </w:p>
        </w:tc>
      </w:tr>
      <w:tr>
        <w:tc>
          <w:tcPr>
            <w:tcW w:type="dxa" w:w="5040"/>
          </w:tcPr>
          <w:p>
            <w:r>
              <w:rPr>
                <w:rFonts w:ascii="Arial" w:hAnsi="Arial"/>
                <w:sz w:val="18"/>
              </w:rPr>
              <w:t>Chong et al. (2022)</w:t>
            </w:r>
          </w:p>
        </w:tc>
        <w:tc>
          <w:tcPr>
            <w:tcW w:type="dxa" w:w="5040"/>
          </w:tcPr>
          <w:p>
            <w:r>
              <w:rPr>
                <w:rFonts w:ascii="Arial" w:hAnsi="Arial"/>
                <w:sz w:val="18"/>
              </w:rPr>
              <w:t>Direct permafrost-associated gas-hydrate ML analogue using well-log inputs and saturation references.</w:t>
            </w:r>
          </w:p>
        </w:tc>
      </w:tr>
      <w:tr>
        <w:tc>
          <w:tcPr>
            <w:tcW w:type="dxa" w:w="5040"/>
          </w:tcPr>
          <w:p>
            <w:r>
              <w:rPr>
                <w:rFonts w:ascii="Arial" w:hAnsi="Arial"/>
                <w:sz w:val="18"/>
              </w:rPr>
              <w:t>Singh et al. (2021)</w:t>
            </w:r>
          </w:p>
        </w:tc>
        <w:tc>
          <w:tcPr>
            <w:tcW w:type="dxa" w:w="5040"/>
          </w:tcPr>
          <w:p>
            <w:r>
              <w:rPr>
                <w:rFonts w:ascii="Arial" w:hAnsi="Arial"/>
                <w:sz w:val="18"/>
              </w:rPr>
              <w:t>Comparative saturation ML and optimal well-log feature support.</w:t>
            </w:r>
          </w:p>
        </w:tc>
      </w:tr>
      <w:tr>
        <w:tc>
          <w:tcPr>
            <w:tcW w:type="dxa" w:w="5040"/>
          </w:tcPr>
          <w:p>
            <w:r>
              <w:rPr>
                <w:rFonts w:ascii="Arial" w:hAnsi="Arial"/>
                <w:sz w:val="18"/>
              </w:rPr>
              <w:t>Chong et al. (2024)</w:t>
            </w:r>
          </w:p>
        </w:tc>
        <w:tc>
          <w:tcPr>
            <w:tcW w:type="dxa" w:w="5040"/>
          </w:tcPr>
          <w:p>
            <w:r>
              <w:rPr>
                <w:rFonts w:ascii="Arial" w:hAnsi="Arial"/>
                <w:sz w:val="18"/>
              </w:rPr>
              <w:t>Comparative occurrence plus saturation ML architecture support.</w:t>
            </w:r>
          </w:p>
        </w:tc>
      </w:tr>
      <w:tr>
        <w:tc>
          <w:tcPr>
            <w:tcW w:type="dxa" w:w="5040"/>
          </w:tcPr>
          <w:p>
            <w:r>
              <w:rPr>
                <w:rFonts w:ascii="Arial" w:hAnsi="Arial"/>
                <w:sz w:val="18"/>
              </w:rPr>
              <w:t>Tian et al. (2023), Li and Liu (2020), Naim et al. (2023)</w:t>
            </w:r>
          </w:p>
        </w:tc>
        <w:tc>
          <w:tcPr>
            <w:tcW w:type="dxa" w:w="5040"/>
          </w:tcPr>
          <w:p>
            <w:r>
              <w:rPr>
                <w:rFonts w:ascii="Arial" w:hAnsi="Arial"/>
                <w:sz w:val="18"/>
              </w:rPr>
              <w:t>Comparative model options for classification, sequence modeling, and missing-log adapters.</w:t>
            </w:r>
          </w:p>
        </w:tc>
      </w:tr>
      <w:tr>
        <w:tc>
          <w:tcPr>
            <w:tcW w:type="dxa" w:w="5040"/>
          </w:tcPr>
          <w:p>
            <w:r>
              <w:rPr>
                <w:rFonts w:ascii="Arial" w:hAnsi="Arial"/>
                <w:sz w:val="18"/>
              </w:rPr>
              <w:t>Cook and Waite (2018)</w:t>
            </w:r>
          </w:p>
        </w:tc>
        <w:tc>
          <w:tcPr>
            <w:tcW w:type="dxa" w:w="5040"/>
          </w:tcPr>
          <w:p>
            <w:r>
              <w:rPr>
                <w:rFonts w:ascii="Arial" w:hAnsi="Arial"/>
                <w:sz w:val="18"/>
              </w:rPr>
              <w:t>Archie saturation exponent and petrophysical saturation caution.</w:t>
            </w:r>
          </w:p>
        </w:tc>
      </w:tr>
      <w:tr>
        <w:tc>
          <w:tcPr>
            <w:tcW w:type="dxa" w:w="5040"/>
          </w:tcPr>
          <w:p>
            <w:r>
              <w:rPr>
                <w:rFonts w:ascii="Arial" w:hAnsi="Arial"/>
                <w:sz w:val="18"/>
              </w:rPr>
              <w:t>Project documents</w:t>
            </w:r>
          </w:p>
        </w:tc>
        <w:tc>
          <w:tcPr>
            <w:tcW w:type="dxa" w:w="5040"/>
          </w:tcPr>
          <w:p>
            <w:r>
              <w:rPr>
                <w:rFonts w:ascii="Arial" w:hAnsi="Arial"/>
                <w:sz w:val="18"/>
              </w:rPr>
              <w:t>`SCIENCE_TO_ML_LOGIC_LADDER`, `ML_PIPELINE_BASELINE_SOURCE_LEDGER`, `WELL_LOG_REQUIREMENTS_MAP`, `STABILITY_CALCULATION_PLAN`, and runtime docs define the current implementation contract.</w:t>
            </w:r>
          </w:p>
        </w:tc>
      </w:tr>
    </w:tbl>
    <w:p/>
    <w:p>
      <w:pPr>
        <w:pStyle w:val="Heading1"/>
      </w:pPr>
      <w:r>
        <w:t>What Is Complete</w:t>
      </w:r>
    </w:p>
    <w:p>
      <w:pPr>
        <w:pStyle w:val="ListBullet"/>
      </w:pPr>
      <w:r>
        <w:t>Public GitHub/Streamlit scaffold and public data boundary.</w:t>
      </w:r>
    </w:p>
    <w:p>
      <w:pPr>
        <w:pStyle w:val="ListBullet"/>
      </w:pPr>
      <w:r>
        <w:t>OpenScienceLab/public-delivery division.</w:t>
      </w:r>
    </w:p>
    <w:p>
      <w:pPr>
        <w:pStyle w:val="ListBullet"/>
      </w:pPr>
      <w:r>
        <w:t>Public stability scaffold for 8,084 Arctic Slope public wells.</w:t>
      </w:r>
    </w:p>
    <w:p>
      <w:pPr>
        <w:pStyle w:val="ListBullet"/>
      </w:pPr>
      <w:r>
        <w:t>G10015 temperature inventory summary with 184 profiles across 24 well codes.</w:t>
      </w:r>
    </w:p>
    <w:p>
      <w:pPr>
        <w:pStyle w:val="ListBullet"/>
      </w:pPr>
      <w:r>
        <w:t>Temperature-model product with calculated, extrapolated, and blocked</w:t>
      </w:r>
    </w:p>
    <w:p>
      <w:r>
        <w:t>key-depth rows.</w:t>
      </w:r>
    </w:p>
    <w:p>
      <w:pPr>
        <w:pStyle w:val="ListBullet"/>
      </w:pPr>
      <w:r>
        <w:t>Cited methane 5 ppt phase-curve lookup.</w:t>
      </w:r>
    </w:p>
    <w:p>
      <w:pPr>
        <w:pStyle w:val="ListBullet"/>
      </w:pPr>
      <w:r>
        <w:t>Hydrostatic pressure helper logic.</w:t>
      </w:r>
    </w:p>
    <w:p>
      <w:pPr>
        <w:pStyle w:val="ListBullet"/>
      </w:pPr>
      <w:r>
        <w:t>Temperature-model logic and duplicate-depth handling.</w:t>
      </w:r>
    </w:p>
    <w:p>
      <w:pPr>
        <w:pStyle w:val="ListBullet"/>
      </w:pPr>
      <w:r>
        <w:t>Source-control confidence labels.</w:t>
      </w:r>
    </w:p>
    <w:p>
      <w:pPr>
        <w:pStyle w:val="ListBullet"/>
      </w:pPr>
      <w:r>
        <w:t>Guarded baseline stability-screen writer and public display.</w:t>
      </w:r>
    </w:p>
    <w:p>
      <w:pPr>
        <w:pStyle w:val="ListBullet"/>
      </w:pPr>
      <w:r>
        <w:t>Communication drafts and slide remake that preserve the no-proof guardrail.</w:t>
      </w:r>
    </w:p>
    <w:p>
      <w:pPr>
        <w:pStyle w:val="Heading1"/>
      </w:pPr>
      <w:r>
        <w:t>What Is Calculated</w:t>
      </w:r>
    </w:p>
    <w:p>
      <w:pPr>
        <w:pStyle w:val="ListBullet"/>
      </w:pPr>
      <w:r>
        <w:t>919 temperature key-depth rows are calculated.</w:t>
      </w:r>
    </w:p>
    <w:p>
      <w:pPr>
        <w:pStyle w:val="ListBullet"/>
      </w:pPr>
      <w:r>
        <w:t>387 of those calculated key-depth rows are extrapolated below measured</w:t>
      </w:r>
    </w:p>
    <w:p>
      <w:r>
        <w:t>profile coverage.</w:t>
      </w:r>
    </w:p>
    <w:p>
      <w:pPr>
        <w:pStyle w:val="ListBullet"/>
      </w:pPr>
      <w:r>
        <w:t>22 baseline methane 5 ppt stability-admissibility intervals are calculated.</w:t>
      </w:r>
    </w:p>
    <w:p>
      <w:pPr>
        <w:pStyle w:val="ListBullet"/>
      </w:pPr>
      <w:r>
        <w:t>8 rows had sufficient inputs but no modeled stable interval under the</w:t>
      </w:r>
    </w:p>
    <w:p>
      <w:r>
        <w:t>baseline run.</w:t>
      </w:r>
    </w:p>
    <w:p>
      <w:r>
        <w:t>These are calculation statuses. They are not hydrate detections.</w:t>
      </w:r>
    </w:p>
    <w:p>
      <w:pPr>
        <w:pStyle w:val="Heading1"/>
      </w:pPr>
      <w:r>
        <w:t>What Is Intentionally Blocked</w:t>
      </w:r>
    </w:p>
    <w:p>
      <w:pPr>
        <w:pStyle w:val="ListBullet"/>
      </w:pPr>
      <w:r>
        <w:t>15,249 temperature key-depth rows are blocked because required profile/depth</w:t>
      </w:r>
    </w:p>
    <w:p>
      <w:r>
        <w:t>inputs are missing or insufficient.</w:t>
      </w:r>
    </w:p>
    <w:p>
      <w:pPr>
        <w:pStyle w:val="ListBullet"/>
      </w:pPr>
      <w:r>
        <w:t>8,054 stability-screen rows are blocked because at least one source or</w:t>
      </w:r>
    </w:p>
    <w:p>
      <w:r>
        <w:t>calculation gate did not pass.</w:t>
      </w:r>
    </w:p>
    <w:p>
      <w:pPr>
        <w:pStyle w:val="ListBullet"/>
      </w:pPr>
      <w:r>
        <w:t>Approved well-log rows, core rows, target labels, trained models, and</w:t>
      </w:r>
    </w:p>
    <w:p>
      <w:r>
        <w:t>runtime metrics remain outside public GitHub/Streamlit.</w:t>
      </w:r>
    </w:p>
    <w:p>
      <w:pPr>
        <w:pStyle w:val="ListBullet"/>
      </w:pPr>
      <w:r>
        <w:t>Final occurrence labels, saturation targets, and project ML metrics remain</w:t>
      </w:r>
    </w:p>
    <w:p>
      <w:r>
        <w:t>blocked until approved-data execution.</w:t>
      </w:r>
    </w:p>
    <w:p>
      <w:r>
        <w:t>Blocked does not mean no hydrate. Blocked means the workflow is refusing to</w:t>
      </w:r>
    </w:p>
    <w:p>
      <w:r>
        <w:t>make a claim without the required inputs.</w:t>
      </w:r>
    </w:p>
    <w:p>
      <w:pPr>
        <w:pStyle w:val="Heading1"/>
      </w:pPr>
      <w:r>
        <w:t>Next Decisions</w:t>
      </w:r>
    </w:p>
    <w:p>
      <w:pPr>
        <w:pStyle w:val="ListNumber"/>
      </w:pPr>
      <w:r>
        <w:t>Keep the official baseline as 100 percent methane plus 5 ppt salinity, or</w:t>
      </w:r>
    </w:p>
    <w:p>
      <w:r>
        <w:t>choose a replacement phase-curve model/source.</w:t>
      </w:r>
    </w:p>
    <w:p>
      <w:pPr>
        <w:pStyle w:val="ListNumber"/>
      </w:pPr>
      <w:r>
        <w:t>Decide whether the Collett et al. (2011) / Holder et al. (1987) mixed-gas</w:t>
      </w:r>
    </w:p>
    <w:p>
      <w:r>
        <w:t>curve should be digitized or model-generated as sensitivity only.</w:t>
      </w:r>
    </w:p>
    <w:p>
      <w:pPr>
        <w:pStyle w:val="ListNumber"/>
      </w:pPr>
      <w:r>
        <w:t>Define high, medium, and low source-control thresholds for temperature and</w:t>
      </w:r>
    </w:p>
    <w:p>
      <w:r>
        <w:t>permafrost control distance.</w:t>
      </w:r>
    </w:p>
    <w:p>
      <w:pPr>
        <w:pStyle w:val="ListNumber"/>
      </w:pPr>
      <w:r>
        <w:t>Decide whether OM-222 permafrost base should be digitized next.</w:t>
      </w:r>
    </w:p>
    <w:p>
      <w:pPr>
        <w:pStyle w:val="ListNumber"/>
      </w:pPr>
      <w:r>
        <w:t>Confirm which approved well-log/core/NMR fields can be used for occurrence</w:t>
      </w:r>
    </w:p>
    <w:p>
      <w:r>
        <w:t>labels, saturation regression targets, calibration, and validation.</w:t>
      </w:r>
    </w:p>
    <w:p>
      <w:pPr>
        <w:pStyle w:val="ListNumber"/>
      </w:pPr>
      <w:r>
        <w:t>Confirm whether the final ML workflow should always present occurrence</w:t>
      </w:r>
    </w:p>
    <w:p>
      <w:r>
        <w:t>classification and saturation regression as two linked outputs.</w:t>
      </w:r>
    </w:p>
    <w:p>
      <w:pPr>
        <w:pStyle w:val="ListNumber"/>
      </w:pPr>
      <w:r>
        <w:t>Recover the full workbook/formulas so the header map can become a complete</w:t>
      </w:r>
    </w:p>
    <w:p>
      <w:r>
        <w:t>runtime input contract.</w:t>
      </w:r>
    </w:p>
    <w:p>
      <w:pPr>
        <w:pStyle w:val="Heading1"/>
      </w:pPr>
      <w:r>
        <w:t>Near-Term Work Plan</w:t>
      </w:r>
    </w:p>
    <w:p>
      <w:r>
        <w:t>The next practical sequence is:</w:t>
      </w:r>
    </w:p>
    <w:p>
      <w:pPr/>
      <w:r>
        <w:rPr>
          <w:rFonts w:ascii="Consolas" w:hAnsi="Consolas"/>
          <w:sz w:val="18"/>
        </w:rPr>
        <w:t>review this pipeline brief</w:t>
        <w:br/>
        <w:t>-&gt; align Word document and 9-slide deck language</w:t>
        <w:br/>
        <w:t>-&gt; recover workbook/formula details</w:t>
        <w:br/>
        <w:t>-&gt; finalize target registry and leakage barrier</w:t>
        <w:br/>
        <w:t>-&gt; configure approved runtime in OpenScienceLab/DOE environment</w:t>
        <w:br/>
        <w:t>-&gt; load approved logs/core/NMR</w:t>
        <w:br/>
        <w:t>-&gt; run QC, alignment, and feature engineering</w:t>
        <w:br/>
        <w:t>-&gt; train baseline occurrence and saturation models</w:t>
        <w:br/>
        <w:t>-&gt; validate by complete wells or compartments</w:t>
        <w:br/>
        <w:t>-&gt; export approved figures and public-safe summaries</w:t>
      </w:r>
    </w:p>
    <w:p>
      <w:r>
        <w:t>Until approved-data validation exists, the public deliverables should emphasize</w:t>
      </w:r>
    </w:p>
    <w:p>
      <w:r>
        <w:t>workflow readiness, source traceability, stability-admissibility, and blocked</w:t>
      </w:r>
    </w:p>
    <w:p>
      <w:r>
        <w:t>states rather than presenting hydrate discoveries or model performance.</w:t>
      </w:r>
    </w:p>
    <w:p>
      <w:pPr>
        <w:pStyle w:val="Heading1"/>
      </w:pPr>
      <w:r>
        <w:t>Claims To Avoid</w:t>
      </w:r>
    </w:p>
    <w:p>
      <w:pPr>
        <w:pStyle w:val="ListBullet"/>
      </w:pPr>
      <w:r>
        <w:t>High resistivity proves hydrate.</w:t>
      </w:r>
    </w:p>
    <w:p>
      <w:pPr>
        <w:pStyle w:val="ListBullet"/>
      </w:pPr>
      <w:r>
        <w:t>Low gamma ray proves hydrate.</w:t>
      </w:r>
    </w:p>
    <w:p>
      <w:pPr>
        <w:pStyle w:val="ListBullet"/>
      </w:pPr>
      <w:r>
        <w:t>All clean sand in the stability zone contains hydrate.</w:t>
      </w:r>
    </w:p>
    <w:p>
      <w:pPr>
        <w:pStyle w:val="ListBullet"/>
      </w:pPr>
      <w:r>
        <w:t>The 22 calculated intervals are hydrate detections.</w:t>
      </w:r>
    </w:p>
    <w:p>
      <w:pPr>
        <w:pStyle w:val="ListBullet"/>
      </w:pPr>
      <w:r>
        <w:t>Blocked rows are no-hydrate rows.</w:t>
      </w:r>
    </w:p>
    <w:p>
      <w:pPr>
        <w:pStyle w:val="ListBullet"/>
      </w:pPr>
      <w:r>
        <w:t>Public scaffold wells are approved-runtime training wells.</w:t>
      </w:r>
    </w:p>
    <w:p>
      <w:pPr>
        <w:pStyle w:val="ListBullet"/>
      </w:pPr>
      <w:r>
        <w:t>Comparative ML papers validate this project's final accuracy.</w:t>
      </w:r>
    </w:p>
    <w:p>
      <w:pPr>
        <w:pStyle w:val="ListBullet"/>
      </w:pPr>
      <w:r>
        <w:t>Random row validation is final validation.</w:t>
      </w:r>
    </w:p>
    <w:p>
      <w:pPr>
        <w:pStyle w:val="ListBullet"/>
      </w:pPr>
      <w:r>
        <w:t>`S_h`, `Sgh`, `NMR_SAT`, phase labels, or rankings are predictors.</w:t>
      </w:r>
    </w:p>
    <w:p>
      <w:pPr>
        <w:pStyle w:val="ListBullet"/>
      </w:pPr>
      <w:r>
        <w:t>Screening ranges are final DOE thresholds.</w:t>
      </w:r>
    </w:p>
    <w:p>
      <w:pPr>
        <w:pStyle w:val="ListBullet"/>
      </w:pPr>
      <w:r>
        <w:t>The project has final hydrate saturation results before approved-data</w:t>
      </w:r>
    </w:p>
    <w:p>
      <w:r>
        <w:t>validation.</w:t>
      </w:r>
    </w:p>
    <w:p>
      <w:pPr>
        <w:pStyle w:val="Heading1"/>
      </w:pPr>
      <w:r>
        <w:t>Word And Slide Translation</w:t>
      </w:r>
    </w:p>
    <w:p>
      <w:r>
        <w:t>The Word document should use this brief to explain the project in this order:</w:t>
      </w:r>
    </w:p>
    <w:p>
      <w:pPr/>
      <w:r>
        <w:rPr>
          <w:rFonts w:ascii="Consolas" w:hAnsi="Consolas"/>
          <w:sz w:val="18"/>
        </w:rPr>
        <w:t>current status</w:t>
        <w:br/>
        <w:t>-&gt; target hydrate system</w:t>
        <w:br/>
        <w:t>-&gt; public/runtime boundary</w:t>
        <w:br/>
        <w:t>-&gt; stability-admissibility screen</w:t>
        <w:br/>
        <w:t>-&gt; evidence tiers</w:t>
        <w:br/>
        <w:t>-&gt; ML pipeline</w:t>
        <w:br/>
        <w:t>-&gt; validation and outputs</w:t>
        <w:br/>
        <w:t>-&gt; open decisions and next work</w:t>
      </w:r>
    </w:p>
    <w:p>
      <w:r>
        <w:t>The nine-slide deck should keep slides 1 and 2 from the current Gmail authority</w:t>
      </w:r>
    </w:p>
    <w:p>
      <w:r>
        <w:t>deck, then use slides 3-9 to show:</w:t>
      </w:r>
    </w:p>
    <w:p>
      <w:pPr>
        <w:pStyle w:val="ListBullet"/>
      </w:pPr>
      <w:r>
        <w:t>evidence tiers, not a flat parameter list;</w:t>
      </w:r>
    </w:p>
    <w:p>
      <w:pPr>
        <w:pStyle w:val="ListBullet"/>
      </w:pPr>
      <w:r>
        <w:t>public GitHub/Streamlit versus OpenScienceLab;</w:t>
      </w:r>
    </w:p>
    <w:p>
      <w:pPr>
        <w:pStyle w:val="ListBullet"/>
      </w:pPr>
      <w:r>
        <w:t>why hydrate signals have mimics;</w:t>
      </w:r>
    </w:p>
    <w:p>
      <w:pPr>
        <w:pStyle w:val="ListBullet"/>
      </w:pPr>
      <w:r>
        <w:t>physics features and stability context;</w:t>
      </w:r>
    </w:p>
    <w:p>
      <w:pPr>
        <w:pStyle w:val="ListBullet"/>
      </w:pPr>
      <w:r>
        <w:t>public stability products as readiness, not proof;</w:t>
      </w:r>
    </w:p>
    <w:p>
      <w:pPr>
        <w:pStyle w:val="ListBullet"/>
      </w:pPr>
      <w:r>
        <w:t>complete/calculated/blocked/future status;</w:t>
      </w:r>
    </w:p>
    <w:p>
      <w:pPr>
        <w:pStyle w:val="ListBullet"/>
      </w:pPr>
      <w:r>
        <w:t>mentor decisions before prediction claims.</w:t>
      </w:r>
    </w:p>
    <w:p>
      <w:pPr>
        <w:sectPr>
          <w:pgSz w:w="12240" w:h="15840"/>
          <w:pgMar w:top="1008" w:right="1080" w:bottom="1008" w:left="1080" w:header="720" w:footer="720" w:gutter="0"/>
          <w:cols w:space="720"/>
          <w:docGrid w:linePitch="360"/>
        </w:sectPr>
      </w:pPr>
    </w:p>
    <w:p>
      <w:r>
        <w:br w:type="page"/>
      </w:r>
    </w:p>
    <w:p>
      <w:pPr>
        <w:pStyle w:val="Heading1"/>
      </w:pPr>
      <w:r>
        <w:t>Review Note</w:t>
      </w:r>
    </w:p>
    <w:p>
      <w:r>
        <w:t>This document is a public-safe planning brief. It does not contain approved well-log rows, core rows, restricted identifiers, trained model results, or final hydrate occurrence/saturation claims.</w:t>
      </w:r>
    </w:p>
    <w:sectPr w:rsidR="00FC693F" w:rsidRPr="0006063C" w:rsidSect="00034616">
      <w:type w:val="continuous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North Slope Gas Hydrate ML Pipeline Status And Forward Workflow</dc:title>
  <dc:subject>Current project status and source-backed ML pipeline plan</dc:subject>
  <dc:creator>North Slope Gas Hydrates project</dc:creator>
  <cp:keywords>gas hydrate, North Slope, stability screen, machine learning, well logs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