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750EB">
      <w:pPr>
        <w:pStyle w:val="31"/>
      </w:pPr>
      <w:r>
        <w:rPr>
          <w:rFonts w:ascii="Calibri" w:hAnsi="Calibri" w:eastAsia="微软雅黑"/>
          <w:b/>
        </w:rPr>
        <w:t>投资时机决策模拟器代码优化说明</w:t>
      </w:r>
    </w:p>
    <w:p w14:paraId="063374BF">
      <w:r>
        <w:rPr>
          <w:rFonts w:ascii="Calibri" w:hAnsi="Calibri" w:eastAsia="微软雅黑"/>
          <w:b/>
        </w:rPr>
        <w:t>交付内容：优化后的 investment 项目代码与本说明文档</w:t>
      </w:r>
      <w:r>
        <w:rPr>
          <w:rFonts w:ascii="Calibri" w:hAnsi="Calibri" w:eastAsia="微软雅黑"/>
        </w:rPr>
        <w:br w:type="textWrapping"/>
      </w:r>
      <w:r>
        <w:rPr>
          <w:rFonts w:ascii="Calibri" w:hAnsi="Calibri" w:eastAsia="微软雅黑"/>
        </w:rPr>
        <w:t>适用课程：智能决策理论与方法 第2章 确定型决策分析</w:t>
      </w:r>
    </w:p>
    <w:p w14:paraId="3CB3C08A">
      <w:r>
        <w:rPr>
          <w:rFonts w:ascii="Calibri" w:hAnsi="Calibri" w:eastAsia="微软雅黑"/>
          <w:b/>
        </w:rPr>
        <w:t>摘要：</w:t>
      </w:r>
      <w:r>
        <w:rPr>
          <w:rFonts w:ascii="Calibri" w:hAnsi="Calibri" w:eastAsia="微软雅黑"/>
        </w:rPr>
        <w:t>本次优化保留原有“投资时机决策模拟器”方向，围绕确定型投资决策的课程要求，修正等待投资的现金流口径，补充 IRR、静态回收期、动态回收期和市场窗口约束，并将验证模块改为可以真实发现错误的测试逻辑。</w:t>
      </w:r>
    </w:p>
    <w:p w14:paraId="72851845">
      <w:pPr>
        <w:pStyle w:val="3"/>
      </w:pPr>
      <w:r>
        <w:rPr>
          <w:rFonts w:ascii="Calibri" w:hAnsi="Calibri" w:eastAsia="微软雅黑"/>
        </w:rPr>
        <w:t>1. 原代码主要问题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3550"/>
        <w:gridCol w:w="3910"/>
      </w:tblGrid>
      <w:tr w14:paraId="4A817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F4C88">
            <w:r>
              <w:rPr>
                <w:rFonts w:ascii="Calibri" w:hAnsi="Calibri" w:eastAsia="微软雅黑"/>
                <w:b/>
              </w:rPr>
              <w:t>问题</w:t>
            </w:r>
          </w:p>
        </w:tc>
        <w:tc>
          <w:tcPr>
            <w:tcW w:w="3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5864">
            <w:r>
              <w:rPr>
                <w:rFonts w:ascii="Calibri" w:hAnsi="Calibri" w:eastAsia="微软雅黑"/>
                <w:b/>
              </w:rPr>
              <w:t>影响</w:t>
            </w:r>
          </w:p>
        </w:tc>
        <w:tc>
          <w:tcPr>
            <w:tcW w:w="3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B494D">
            <w:r>
              <w:rPr>
                <w:rFonts w:ascii="Calibri" w:hAnsi="Calibri" w:eastAsia="微软雅黑"/>
                <w:b/>
              </w:rPr>
              <w:t>优化处理</w:t>
            </w:r>
          </w:p>
        </w:tc>
      </w:tr>
      <w:tr w14:paraId="4F242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9FDC9">
            <w:pPr>
              <w:spacing w:after="0"/>
            </w:pPr>
            <w:r>
              <w:rPr>
                <w:rFonts w:ascii="Calibri" w:hAnsi="Calibri" w:eastAsia="微软雅黑"/>
              </w:rPr>
              <w:t>等待收益口径不完整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990F1">
            <w:pPr>
              <w:spacing w:after="0"/>
            </w:pPr>
            <w:r>
              <w:rPr>
                <w:rFonts w:ascii="Calibri" w:hAnsi="Calibri" w:eastAsia="微软雅黑"/>
              </w:rPr>
              <w:t>原实现只改变投产后的增长率，等待期间的市场增长没有进入未来现金流年份，可能低估等待方案。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F97B0">
            <w:pPr>
              <w:spacing w:after="0"/>
            </w:pPr>
            <w:r>
              <w:rPr>
                <w:rFonts w:ascii="Calibri" w:hAnsi="Calibri" w:eastAsia="微软雅黑"/>
              </w:rPr>
              <w:t>按真实发生年份计算现金流：第 w 年投资后，第 k 年收益计为 CF_(w+k)，再统一折现回当前时点。</w:t>
            </w:r>
          </w:p>
        </w:tc>
      </w:tr>
      <w:tr w14:paraId="34E25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D4989">
            <w:pPr>
              <w:spacing w:after="0"/>
            </w:pPr>
            <w:r>
              <w:rPr>
                <w:rFonts w:ascii="Calibri" w:hAnsi="Calibri" w:eastAsia="微软雅黑"/>
              </w:rPr>
              <w:t>推荐规则过于简单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DB3D3">
            <w:pPr>
              <w:spacing w:after="0"/>
            </w:pPr>
            <w:r>
              <w:rPr>
                <w:rFonts w:ascii="Calibri" w:hAnsi="Calibri" w:eastAsia="微软雅黑"/>
              </w:rPr>
              <w:t>直接选择最大 NPV，即使所有 NPV 均为负也会给出投资建议。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AC695">
            <w:pPr>
              <w:spacing w:after="0"/>
            </w:pPr>
            <w:r>
              <w:rPr>
                <w:rFonts w:ascii="Calibri" w:hAnsi="Calibri" w:eastAsia="微软雅黑"/>
              </w:rPr>
              <w:t>新增统一推荐方法；若所有有效方案 NPV 小于 0，则输出“不建议投资/拒绝项目”。</w:t>
            </w:r>
          </w:p>
        </w:tc>
      </w:tr>
      <w:tr w14:paraId="31741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875A">
            <w:pPr>
              <w:spacing w:after="0"/>
            </w:pPr>
            <w:r>
              <w:rPr>
                <w:rFonts w:ascii="Calibri" w:hAnsi="Calibri" w:eastAsia="微软雅黑"/>
              </w:rPr>
              <w:t>验证逻辑存在误判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2DCCB">
            <w:pPr>
              <w:spacing w:after="0"/>
            </w:pPr>
            <w:r>
              <w:rPr>
                <w:rFonts w:ascii="Calibri" w:hAnsi="Calibri" w:eastAsia="微软雅黑"/>
              </w:rPr>
              <w:t>测试案例中写着等待最优，但判断条件包含“最优年份为 0 也通过”，无法发现模型错误。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4CD7B">
            <w:pPr>
              <w:spacing w:after="0"/>
            </w:pPr>
            <w:r>
              <w:rPr>
                <w:rFonts w:ascii="Calibri" w:hAnsi="Calibri" w:eastAsia="微软雅黑"/>
              </w:rPr>
              <w:t>改为标准库 unittest 断言，并在 Streamlit 验证模块中显示预期状态、实际状态和测试结果。</w:t>
            </w:r>
          </w:p>
        </w:tc>
      </w:tr>
      <w:tr w14:paraId="031D7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3E479">
            <w:pPr>
              <w:spacing w:after="0"/>
            </w:pPr>
            <w:r>
              <w:rPr>
                <w:rFonts w:ascii="Calibri" w:hAnsi="Calibri" w:eastAsia="微软雅黑"/>
              </w:rPr>
              <w:t>课程指标不足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1AC5D">
            <w:pPr>
              <w:spacing w:after="0"/>
            </w:pPr>
            <w:r>
              <w:rPr>
                <w:rFonts w:ascii="Calibri" w:hAnsi="Calibri" w:eastAsia="微软雅黑"/>
              </w:rPr>
              <w:t>原工具主要展示 NPV，缺少第2章强调的 IRR 与回收期指标。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6894F">
            <w:pPr>
              <w:spacing w:after="0"/>
            </w:pPr>
            <w:r>
              <w:rPr>
                <w:rFonts w:ascii="Calibri" w:hAnsi="Calibri" w:eastAsia="微软雅黑"/>
              </w:rPr>
              <w:t>新增 IRR、静态回收期、动态回收期，作为 NPV 主规则之外的解释指标。</w:t>
            </w:r>
          </w:p>
        </w:tc>
      </w:tr>
    </w:tbl>
    <w:p w14:paraId="50BAC5AD"/>
    <w:p w14:paraId="32463881">
      <w:pPr>
        <w:pStyle w:val="3"/>
      </w:pPr>
      <w:r>
        <w:rPr>
          <w:rFonts w:ascii="Calibri" w:hAnsi="Calibri" w:eastAsia="微软雅黑"/>
        </w:rPr>
        <w:t>2. 核心模型修正</w:t>
      </w:r>
    </w:p>
    <w:p w14:paraId="5600FE33">
      <w:r>
        <w:rPr>
          <w:rFonts w:ascii="Calibri" w:hAnsi="Calibri" w:eastAsia="微软雅黑"/>
          <w:b/>
        </w:rPr>
        <w:t>新的净现值公式为：</w:t>
      </w:r>
      <w:r>
        <w:rPr>
          <w:rFonts w:ascii="Calibri" w:hAnsi="Calibri" w:eastAsia="微软雅黑"/>
        </w:rPr>
        <w:t xml:space="preserve"> NPV_w = - I_w / (1+r)^w + Σ CF_(w+k) / (1+r)^(w+k)。其中 w 为等待年限，r 为折现率，n 为项目寿命，I_w 为等待 w 年后的投资成本，CF_(w+k) 为真实发生在第 w+k 年的净现金流。</w:t>
      </w:r>
    </w:p>
    <w:p w14:paraId="1EE8B28F">
      <w:pPr>
        <w:pStyle w:val="16"/>
        <w:spacing w:after="80"/>
      </w:pPr>
      <w:r>
        <w:rPr>
          <w:rFonts w:ascii="Calibri" w:hAnsi="Calibri" w:eastAsia="微软雅黑"/>
        </w:rPr>
        <w:t>投资成本随等待年限按成本上升率增长，并折现回当前时点。</w:t>
      </w:r>
    </w:p>
    <w:p w14:paraId="16FACBAF">
      <w:pPr>
        <w:pStyle w:val="16"/>
        <w:spacing w:after="80"/>
      </w:pPr>
      <w:r>
        <w:rPr>
          <w:rFonts w:ascii="Calibri" w:hAnsi="Calibri" w:eastAsia="微软雅黑"/>
        </w:rPr>
        <w:t>收益增长率作用于真实日历年份，等待期间的市场增长会反映在投产后的现金流中。</w:t>
      </w:r>
    </w:p>
    <w:p w14:paraId="21BDAFE8">
      <w:pPr>
        <w:pStyle w:val="16"/>
        <w:spacing w:after="80"/>
      </w:pPr>
      <w:r>
        <w:rPr>
          <w:rFonts w:ascii="Calibri" w:hAnsi="Calibri" w:eastAsia="微软雅黑"/>
        </w:rPr>
        <w:t>机会损失率按等待年限降低未来净现金流，并设置下限，避免出现不合理的负收益系数。</w:t>
      </w:r>
    </w:p>
    <w:p w14:paraId="0058B14D">
      <w:pPr>
        <w:pStyle w:val="16"/>
        <w:spacing w:after="80"/>
      </w:pPr>
      <w:r>
        <w:rPr>
          <w:rFonts w:ascii="Calibri" w:hAnsi="Calibri" w:eastAsia="微软雅黑"/>
        </w:rPr>
        <w:t>市场窗口期外的方案标记为无效，不参与最优方案比较。</w:t>
      </w:r>
    </w:p>
    <w:p w14:paraId="38AE20AC">
      <w:pPr>
        <w:pStyle w:val="3"/>
      </w:pPr>
      <w:r>
        <w:rPr>
          <w:rFonts w:ascii="Calibri" w:hAnsi="Calibri" w:eastAsia="微软雅黑"/>
        </w:rPr>
        <w:t>3. 功能增强内容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60"/>
      </w:tblGrid>
      <w:tr w14:paraId="28260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CCE9D">
            <w:r>
              <w:rPr>
                <w:rFonts w:ascii="Calibri" w:hAnsi="Calibri" w:eastAsia="微软雅黑"/>
                <w:b/>
              </w:rPr>
              <w:t>模块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8A9B4">
            <w:r>
              <w:rPr>
                <w:rFonts w:ascii="Calibri" w:hAnsi="Calibri" w:eastAsia="微软雅黑"/>
                <w:b/>
              </w:rPr>
              <w:t>主要修改</w:t>
            </w:r>
          </w:p>
        </w:tc>
      </w:tr>
      <w:tr w14:paraId="09D8B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BDBF2">
            <w:pPr>
              <w:spacing w:after="0"/>
            </w:pPr>
            <w:r>
              <w:rPr>
                <w:rFonts w:ascii="Calibri" w:hAnsi="Calibri" w:eastAsia="微软雅黑"/>
              </w:rPr>
              <w:t>calculator.py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95CA6">
            <w:pPr>
              <w:spacing w:after="0"/>
            </w:pPr>
            <w:r>
              <w:rPr>
                <w:rFonts w:ascii="Calibri" w:hAnsi="Calibri" w:eastAsia="微软雅黑"/>
              </w:rPr>
              <w:t>重构 NPV 计算，新增 IRR、静态回收期、动态回收期、有效性标记和 get_recommendation() 统一推荐方法。</w:t>
            </w:r>
          </w:p>
        </w:tc>
      </w:tr>
      <w:tr w14:paraId="2F59DB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5CAC">
            <w:pPr>
              <w:spacing w:after="0"/>
            </w:pPr>
            <w:r>
              <w:rPr>
                <w:rFonts w:ascii="Calibri" w:hAnsi="Calibri" w:eastAsia="微软雅黑"/>
              </w:rPr>
              <w:t>app.py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0570C">
            <w:pPr>
              <w:spacing w:after="0"/>
            </w:pPr>
            <w:r>
              <w:rPr>
                <w:rFonts w:ascii="Calibri" w:hAnsi="Calibri" w:eastAsia="微软雅黑"/>
              </w:rPr>
              <w:t>重做结果展示结构，增加模型说明、计算结果、敏感性分析和验证模块；展示公式、判断规则和关键指标。</w:t>
            </w:r>
          </w:p>
        </w:tc>
      </w:tr>
      <w:tr w14:paraId="5AAEF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BB34">
            <w:pPr>
              <w:spacing w:after="0"/>
            </w:pPr>
            <w:r>
              <w:rPr>
                <w:rFonts w:ascii="Calibri" w:hAnsi="Calibri" w:eastAsia="微软雅黑"/>
              </w:rPr>
              <w:t>visualizer.py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3D10E">
            <w:pPr>
              <w:spacing w:after="0"/>
            </w:pPr>
            <w:r>
              <w:rPr>
                <w:rFonts w:ascii="Calibri" w:hAnsi="Calibri" w:eastAsia="微软雅黑"/>
              </w:rPr>
              <w:t>过滤无效方案，标注最佳投资年份，优化 NPV 曲线、投资时点图和敏感性图，并增加中文字体回退。</w:t>
            </w:r>
          </w:p>
        </w:tc>
      </w:tr>
      <w:tr w14:paraId="780C1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77CE0">
            <w:pPr>
              <w:spacing w:after="0"/>
            </w:pPr>
            <w:r>
              <w:rPr>
                <w:rFonts w:ascii="Calibri" w:hAnsi="Calibri" w:eastAsia="微软雅黑"/>
              </w:rPr>
              <w:t>validator.py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F487E">
            <w:pPr>
              <w:spacing w:after="0"/>
            </w:pPr>
            <w:r>
              <w:rPr>
                <w:rFonts w:ascii="Calibri" w:hAnsi="Calibri" w:eastAsia="微软雅黑"/>
              </w:rPr>
              <w:t>替换原有宽松验证逻辑，展示手算公式、自动化验证案例以及 IRR/回收期校验案例。</w:t>
            </w:r>
          </w:p>
        </w:tc>
      </w:tr>
      <w:tr w14:paraId="3BB1E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44201">
            <w:pPr>
              <w:spacing w:after="0"/>
            </w:pPr>
            <w:r>
              <w:rPr>
                <w:rFonts w:ascii="Calibri" w:hAnsi="Calibri" w:eastAsia="微软雅黑"/>
              </w:rPr>
              <w:t>test_calculator.py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C12B">
            <w:pPr>
              <w:spacing w:after="0"/>
            </w:pPr>
            <w:r>
              <w:rPr>
                <w:rFonts w:ascii="Calibri" w:hAnsi="Calibri" w:eastAsia="微软雅黑"/>
              </w:rPr>
              <w:t>改为 unittest 测试，覆盖立即投资、等待投资、拒绝投资、市场窗口和关键指标计算。</w:t>
            </w:r>
          </w:p>
        </w:tc>
      </w:tr>
    </w:tbl>
    <w:p w14:paraId="019C9DBD"/>
    <w:p w14:paraId="35124DCB">
      <w:pPr>
        <w:pStyle w:val="3"/>
      </w:pPr>
      <w:r>
        <w:rPr>
          <w:rFonts w:ascii="Calibri" w:hAnsi="Calibri" w:eastAsia="微软雅黑"/>
        </w:rPr>
        <w:t>4. 验证结果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1700"/>
        <w:gridCol w:w="5460"/>
      </w:tblGrid>
      <w:tr w14:paraId="328DA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DBE2">
            <w:r>
              <w:rPr>
                <w:rFonts w:ascii="Calibri" w:hAnsi="Calibri" w:eastAsia="微软雅黑"/>
                <w:b/>
              </w:rPr>
              <w:t>检查项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DD141">
            <w:r>
              <w:rPr>
                <w:rFonts w:ascii="Calibri" w:hAnsi="Calibri" w:eastAsia="微软雅黑"/>
                <w:b/>
              </w:rPr>
              <w:t>结果</w:t>
            </w:r>
          </w:p>
        </w:tc>
        <w:tc>
          <w:tcPr>
            <w:tcW w:w="5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BC1A4"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 w14:paraId="79ABBF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D0FF">
            <w:pPr>
              <w:spacing w:after="0"/>
            </w:pPr>
            <w:r>
              <w:rPr>
                <w:rFonts w:ascii="Calibri" w:hAnsi="Calibri" w:eastAsia="微软雅黑"/>
              </w:rPr>
              <w:t>Python 编译检查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0574">
            <w:pPr>
              <w:spacing w:after="0"/>
            </w:pPr>
            <w:r>
              <w:rPr>
                <w:rFonts w:ascii="Calibri" w:hAnsi="Calibri" w:eastAsia="微软雅黑"/>
              </w:rPr>
              <w:t>通过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6D851">
            <w:pPr>
              <w:spacing w:after="0"/>
            </w:pPr>
            <w:r>
              <w:rPr>
                <w:rFonts w:ascii="Calibri" w:hAnsi="Calibri" w:eastAsia="微软雅黑"/>
              </w:rPr>
              <w:t>已运行 python -m compileall investment，所有 Python 文件可编译。</w:t>
            </w:r>
          </w:p>
        </w:tc>
      </w:tr>
      <w:tr w14:paraId="5059B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9244">
            <w:pPr>
              <w:spacing w:after="0"/>
            </w:pPr>
            <w:r>
              <w:rPr>
                <w:rFonts w:ascii="Calibri" w:hAnsi="Calibri" w:eastAsia="微软雅黑"/>
              </w:rPr>
              <w:t>单元测试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CB8EA">
            <w:pPr>
              <w:spacing w:after="0"/>
            </w:pPr>
            <w:r>
              <w:rPr>
                <w:rFonts w:ascii="Calibri" w:hAnsi="Calibri" w:eastAsia="微软雅黑"/>
              </w:rPr>
              <w:t>通过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0DB58">
            <w:pPr>
              <w:spacing w:after="0"/>
            </w:pPr>
            <w:r>
              <w:rPr>
                <w:rFonts w:ascii="Calibri" w:hAnsi="Calibri" w:eastAsia="微软雅黑"/>
              </w:rPr>
              <w:t>已运行 python -m unittest investment.test_calculator，共 5 个测试全部通过。</w:t>
            </w:r>
          </w:p>
        </w:tc>
      </w:tr>
      <w:tr w14:paraId="6F64C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22ABF">
            <w:pPr>
              <w:spacing w:after="0"/>
            </w:pPr>
            <w:r>
              <w:rPr>
                <w:rFonts w:ascii="Calibri" w:hAnsi="Calibri" w:eastAsia="微软雅黑"/>
              </w:rPr>
              <w:t>界面依赖检查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A9994">
            <w:pPr>
              <w:spacing w:after="0"/>
            </w:pPr>
            <w:r>
              <w:rPr>
                <w:rFonts w:ascii="Calibri" w:hAnsi="Calibri" w:eastAsia="微软雅黑"/>
              </w:rPr>
              <w:t>部分受限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28D6">
            <w:pPr>
              <w:spacing w:after="0"/>
            </w:pPr>
            <w:r>
              <w:rPr>
                <w:rFonts w:ascii="Calibri" w:hAnsi="Calibri" w:eastAsia="微软雅黑"/>
              </w:rPr>
              <w:t>当前基础 Python 环境缺少 Streamlit 和 pandas，因此未启动 Streamlit 服务；代码层编译和核心逻辑测试已完成。</w:t>
            </w:r>
          </w:p>
        </w:tc>
      </w:tr>
      <w:tr w14:paraId="5B7EF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D4D1">
            <w:pPr>
              <w:spacing w:after="0"/>
            </w:pPr>
            <w:r>
              <w:rPr>
                <w:rFonts w:ascii="Calibri" w:hAnsi="Calibri" w:eastAsia="微软雅黑"/>
              </w:rPr>
              <w:t>说明文档检查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9387">
            <w:pPr>
              <w:spacing w:after="0"/>
            </w:pPr>
            <w:r>
              <w:rPr>
                <w:rFonts w:ascii="Calibri" w:hAnsi="Calibri" w:eastAsia="微软雅黑"/>
              </w:rPr>
              <w:t>通过结构检查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D0F7F">
            <w:pPr>
              <w:spacing w:after="0"/>
            </w:pPr>
            <w:r>
              <w:rPr>
                <w:rFonts w:ascii="Calibri" w:hAnsi="Calibri" w:eastAsia="微软雅黑"/>
              </w:rPr>
              <w:t>DOCX 由 python-docx 生成并可重新打开读取；本机未检测到 soffice，未进行 PNG 渲染验收。</w:t>
            </w:r>
          </w:p>
        </w:tc>
      </w:tr>
    </w:tbl>
    <w:p w14:paraId="3EFD5528"/>
    <w:p w14:paraId="5D0729B7">
      <w:pPr>
        <w:pStyle w:val="3"/>
      </w:pPr>
      <w:r>
        <w:rPr>
          <w:rFonts w:ascii="Calibri" w:hAnsi="Calibri" w:eastAsia="微软雅黑"/>
        </w:rPr>
        <w:t>5. AI 辅助修改说明</w:t>
      </w:r>
    </w:p>
    <w:p w14:paraId="6A7BCA8F">
      <w:pPr>
        <w:pStyle w:val="16"/>
        <w:spacing w:after="80"/>
      </w:pPr>
      <w:r>
        <w:rPr>
          <w:rFonts w:ascii="Calibri" w:hAnsi="Calibri" w:eastAsia="微软雅黑"/>
        </w:rPr>
        <w:t>AI 用于阅读作业要求、课程 PPT 和现有代码，识别与确定型决策分析要求不一致的地方。</w:t>
      </w:r>
    </w:p>
    <w:p w14:paraId="027723B0">
      <w:pPr>
        <w:pStyle w:val="16"/>
        <w:spacing w:after="80"/>
      </w:pPr>
      <w:r>
        <w:rPr>
          <w:rFonts w:ascii="Calibri" w:hAnsi="Calibri" w:eastAsia="微软雅黑"/>
        </w:rPr>
        <w:t>AI 辅助重构核心公式、补充课程指标、改写测试与验证模块，并生成本说明文档。</w:t>
      </w:r>
    </w:p>
    <w:p w14:paraId="3B8E02ED">
      <w:pPr>
        <w:pStyle w:val="16"/>
        <w:spacing w:after="80"/>
      </w:pPr>
      <w:r>
        <w:rPr>
          <w:rFonts w:ascii="Calibri" w:hAnsi="Calibri" w:eastAsia="微软雅黑"/>
        </w:rPr>
        <w:t>人工确认的重点包括：保留投资时机方向、采用 NPV 作为主判断规则、金额单位仍为万元、利率输入仍为百分比。</w:t>
      </w:r>
    </w:p>
    <w:p w14:paraId="18E230E5">
      <w:pPr>
        <w:pStyle w:val="16"/>
        <w:spacing w:after="80"/>
      </w:pPr>
      <w:r>
        <w:rPr>
          <w:rFonts w:ascii="Calibri" w:hAnsi="Calibri" w:eastAsia="微软雅黑"/>
        </w:rPr>
        <w:t>修正过的 AI/原始代码问题包括：等待现金流年份口径不完整、验证逻辑误判、所有方案为负仍推荐投资、无效市场窗口方案参与图表展示。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98490">
    <w:pPr>
      <w:pStyle w:val="24"/>
      <w:jc w:val="center"/>
    </w:pPr>
    <w:r>
      <w:rPr>
        <w:rFonts w:ascii="Calibri" w:hAnsi="Calibri" w:eastAsia="微软雅黑"/>
        <w:color w:val="5A5A5A"/>
        <w:sz w:val="18"/>
      </w:rPr>
      <w:t>基于确定型决策分析的 AI 辅助代码优化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E4130A">
    <w:pPr>
      <w:pStyle w:val="25"/>
      <w:jc w:val="right"/>
    </w:pPr>
    <w:r>
      <w:rPr>
        <w:rFonts w:ascii="Calibri" w:hAnsi="Calibri" w:eastAsia="微软雅黑"/>
        <w:color w:val="5A5A5A"/>
        <w:sz w:val="18"/>
      </w:rPr>
      <w:t>投资时机决策模拟器代码优化说明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E1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200" w:line="240" w:lineRule="auto"/>
      <w:contextualSpacing/>
    </w:pPr>
    <w:rPr>
      <w:rFonts w:asciiTheme="majorHAnsi" w:hAnsiTheme="majorHAnsi" w:eastAsiaTheme="majorEastAsia" w:cstheme="majorBidi"/>
      <w:color w:val="0B2545"/>
      <w:spacing w:val="5"/>
      <w:kern w:val="28"/>
      <w:sz w:val="44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1355</Words>
  <Characters>1702</Characters>
  <Lines>0</Lines>
  <Paragraphs>0</Paragraphs>
  <TotalTime>0</TotalTime>
  <ScaleCrop>false</ScaleCrop>
  <LinksUpToDate>false</LinksUpToDate>
  <CharactersWithSpaces>1814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성혁</cp:lastModifiedBy>
  <dcterms:modified xsi:type="dcterms:W3CDTF">2026-05-28T09:43:31Z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eyJoZGlkIjoiZTJkOGE5ODk1ZWM1ZDI3NWRkZDBiZGNlY2E2YWU2MjQiLCJ1c2VySWQiOiIxMjQ5MTE1MjU2In0=</vt:lpwstr>
  </property>
  <property fmtid="{D5CDD505-2E9C-101B-9397-08002B2CF9AE}" pid="3" name="KSOProductBuildVer">
    <vt:lpwstr>2052-12.1.0.24657</vt:lpwstr>
  </property>
  <property fmtid="{D5CDD505-2E9C-101B-9397-08002B2CF9AE}" pid="4" name="ICV">
    <vt:lpwstr>3C216CD91F33438A920A627DC4437B54_12</vt:lpwstr>
  </property>
</Properties>
</file>