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t>Universidad de Lima</w:t>
      </w:r>
    </w:p>
    <w:p>
      <w:pPr>
        <w:jc w:val="center"/>
      </w:pPr>
      <w:r>
        <w:t>Facultad de Ingeniería</w:t>
      </w:r>
    </w:p>
    <w:p>
      <w:pPr>
        <w:jc w:val="center"/>
      </w:pPr>
      <w:r>
        <w:t>Carrera de Ingeniería de Sistemas</w:t>
      </w:r>
    </w:p>
    <w:p>
      <w:pPr>
        <w:jc w:val="center"/>
      </w:pPr>
      <w:r>
        <w:t>Ingeniería de Software II</w:t>
      </w:r>
    </w:p>
    <w:p/>
    <w:p>
      <w:pPr>
        <w:pStyle w:val="Ttulo"/>
        <w:jc w:val="center"/>
      </w:pPr>
      <w:r>
        <w:t>Inkr8 cierre técnico y entrega para revisión</w:t>
      </w:r>
    </w:p>
    <w:p>
      <w:r>
        <w:t>Informe derivado de la plantilla oficial P4 y del informe humano recuperado. Versión de entrega 9 de octubre de 2026. El código original es de estudiantes según Marco; refactorización, correcciones, soporte, pruebas y este informe derivados son de Codex bajo DEC-AI-AUTH-001.</w:t>
      </w:r>
    </w:p>
    <w:p>
      <w:r>
        <w:t>El núcleo, las retiradas aprobadas y las temporadas cuentan con comprobaciones locales. Los siete métodos Android con reglas estrictas pasan. La validación externa de R8, la política cloud auténtica y las obligaciones individuales del curso siguen pendientes; este informe permite revisar la entrega sin presentar esos límites como resueltos.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6624"/>
          </w:tcPr>
          <w:p>
            <w:pPr>
              <w:spacing w:after="60" w:before="60"/>
            </w:pPr>
            <w:r>
              <w:rPr>
                <w:b/>
                <w:sz w:val="20"/>
              </w:rPr>
              <w:t>Equipo confirmado</w:t>
            </w:r>
          </w:p>
        </w:tc>
        <w:tc>
          <w:tcPr>
            <w:tcW w:type="dxa" w:w="2736"/>
          </w:tcPr>
          <w:p>
            <w:pPr>
              <w:spacing w:after="60" w:before="60"/>
            </w:pPr>
            <w:r>
              <w:rPr>
                <w:b/>
                <w:sz w:val="20"/>
              </w:rPr>
              <w:t>Rol comunicado</w:t>
            </w:r>
          </w:p>
        </w:tc>
      </w:tr>
      <w:tr>
        <w:trPr>
          <w:cantSplit/>
        </w:trPr>
        <w:tc>
          <w:tcPr>
            <w:tcW w:type="dxa" w:w="662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Renzo Ubaldo Adrianzén Vía</w:t>
            </w:r>
          </w:p>
        </w:tc>
        <w:tc>
          <w:tcPr>
            <w:tcW w:type="dxa" w:w="2736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Product Owner</w:t>
            </w:r>
          </w:p>
        </w:tc>
      </w:tr>
      <w:tr>
        <w:trPr>
          <w:cantSplit/>
        </w:trPr>
        <w:tc>
          <w:tcPr>
            <w:tcW w:type="dxa" w:w="662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Marco Antonio Bocanegra Carrión</w:t>
            </w:r>
          </w:p>
        </w:tc>
        <w:tc>
          <w:tcPr>
            <w:tcW w:type="dxa" w:w="2736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Developer</w:t>
            </w:r>
          </w:p>
        </w:tc>
      </w:tr>
      <w:tr>
        <w:trPr>
          <w:cantSplit/>
        </w:trPr>
        <w:tc>
          <w:tcPr>
            <w:tcW w:type="dxa" w:w="662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Victor Manuel Camarena Paredes</w:t>
            </w:r>
          </w:p>
        </w:tc>
        <w:tc>
          <w:tcPr>
            <w:tcW w:type="dxa" w:w="2736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Developer</w:t>
            </w:r>
          </w:p>
        </w:tc>
      </w:tr>
      <w:tr>
        <w:trPr>
          <w:cantSplit/>
        </w:trPr>
        <w:tc>
          <w:tcPr>
            <w:tcW w:type="dxa" w:w="662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Pedro Iván Pacheco Castro</w:t>
            </w:r>
          </w:p>
        </w:tc>
        <w:tc>
          <w:tcPr>
            <w:tcW w:type="dxa" w:w="2736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Developer</w:t>
            </w:r>
          </w:p>
        </w:tc>
      </w:tr>
      <w:tr>
        <w:trPr>
          <w:cantSplit/>
        </w:trPr>
        <w:tc>
          <w:tcPr>
            <w:tcW w:type="dxa" w:w="662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Jean Carlo de Jesús Rado Delgado</w:t>
            </w:r>
          </w:p>
        </w:tc>
        <w:tc>
          <w:tcPr>
            <w:tcW w:type="dxa" w:w="2736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Developer</w:t>
            </w:r>
          </w:p>
        </w:tc>
      </w:tr>
      <w:tr>
        <w:trPr>
          <w:cantSplit/>
        </w:trPr>
        <w:tc>
          <w:tcPr>
            <w:tcW w:type="dxa" w:w="662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Matías Gonzalo Villar Córdova Alva</w:t>
            </w:r>
          </w:p>
        </w:tc>
        <w:tc>
          <w:tcPr>
            <w:tcW w:type="dxa" w:w="2736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Scrum Master</w:t>
            </w:r>
          </w:p>
        </w:tc>
      </w:tr>
    </w:tbl>
    <w:p>
      <w:r>
        <w:t>Docente identificado en el informe humano: Henry Wong. Los nombres y roles no prueban contribuciones individuales. No se inventan firmas, aprobación grupal, actas, fechas de sprints ni revisión del equipo.</w:t>
      </w:r>
    </w:p>
    <w:p>
      <w:r>
        <w:br w:type="page"/>
      </w:r>
    </w:p>
    <w:p>
      <w:pPr>
        <w:pStyle w:val="Ttulo1"/>
      </w:pPr>
      <w:r>
        <w:t>Contenido del informe</w:t>
      </w:r>
    </w:p>
    <w:p>
      <w:r>
        <w:t>1 Visión general</w:t>
      </w:r>
    </w:p>
    <w:p>
      <w:r>
        <w:t>2 Metodología y equipo</w:t>
      </w:r>
    </w:p>
    <w:p>
      <w:r>
        <w:t>3 Métricas y estimaciones</w:t>
      </w:r>
    </w:p>
    <w:p>
      <w:r>
        <w:t>4 Releases y sprints</w:t>
      </w:r>
    </w:p>
    <w:p>
      <w:r>
        <w:t>5 Requisitos y trazabilidad</w:t>
      </w:r>
    </w:p>
    <w:p>
      <w:r>
        <w:t>6 Arquitectura</w:t>
      </w:r>
    </w:p>
    <w:p>
      <w:r>
        <w:t>7 Diseño y refactorización</w:t>
      </w:r>
    </w:p>
    <w:p>
      <w:r>
        <w:t>8 Comportamiento dinámico</w:t>
      </w:r>
    </w:p>
    <w:p>
      <w:r>
        <w:t>9 Interfaz datos e integración</w:t>
      </w:r>
    </w:p>
    <w:p>
      <w:r>
        <w:t>10 Pruebas y aceptación</w:t>
      </w:r>
    </w:p>
    <w:p>
      <w:r>
        <w:t>11 Ética impacto y responsabilidad</w:t>
      </w:r>
    </w:p>
    <w:p>
      <w:r>
        <w:t>12 Repositorio y contribuciones</w:t>
      </w:r>
    </w:p>
    <w:p>
      <w:r>
        <w:t>13 Referencias y anexos</w:t>
      </w:r>
    </w:p>
    <w:p>
      <w:r>
        <w:t>Los capítulos conservan la correspondencia 1–13 de P4. Los apartados que dependen de aportes humanos indican la fuente disponible y la evidencia indispensable ausente; las instrucciones y ejemplos de la plantilla no se incorporan como logros del proyecto.</w:t>
      </w:r>
    </w:p>
    <w:p>
      <w:r>
        <w:br w:type="page"/>
      </w:r>
    </w:p>
    <w:p>
      <w:pPr>
        <w:pStyle w:val="Ttulo1"/>
      </w:pPr>
      <w:r>
        <w:t>1 Visión general</w:t>
      </w:r>
    </w:p>
    <w:p>
      <w:pPr>
        <w:pStyle w:val="Ttulo2"/>
      </w:pPr>
      <w:r>
        <w:t>1 1 Propósito y necesidad</w:t>
      </w:r>
    </w:p>
    <w:p>
      <w:r>
        <w:t>Inkr8 ofrece práctica de escritura en inglés, restricciones de ejercicio, evaluación y feedback, y progreso competitivo. Se reutiliza la visión del informe humano recuperado, apartados 1.1 y 1.2.1. El informe actual distingue la intención educativa de una mejora de aprendizaje medida: no se realizó un estudio con estudiantes ni una medición causal de desempeño.</w:t>
      </w:r>
    </w:p>
    <w:p>
      <w:pPr>
        <w:pStyle w:val="Ttulo2"/>
      </w:pPr>
      <w:r>
        <w:t>1 2 Alcance final y ODS</w:t>
      </w:r>
    </w:p>
    <w:p>
      <w:r>
        <w:t>Permanecen Writing/evaluación, Practice, Ranked, rating, autenticación, perfil básico y Merit. Se retiraron torneos, ligas y reputación como funciones activas. Los campos y datos históricos no se borraron; la reputación histórica sólo se conserva como factor del precio Ranked ya existente, por decisión de Marco. HU 3.27/3.28 incorporan ranking de temporada e historial propio.</w:t>
      </w:r>
    </w:p>
    <w:p>
      <w:r>
        <w:t>El informe humano §1.2.5 vincula el producto a ODS 4, educación de calidad: Practice permite escribir sin riesgo competitivo y On-Topic exige desarrollar una idea contextualizada. Su referencia secundaria a ODS 9 se conserva como antecedente tecnológico, sin usar torneos retirados como impacto actual. No se inventa una meta específica ni un indicador de impacto aprobado.</w:t>
      </w:r>
    </w:p>
    <w:p>
      <w:pPr>
        <w:pStyle w:val="Ttulo2"/>
      </w:pPr>
      <w:r>
        <w:t>1 3 Objetivos y resultado verificable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3456"/>
          </w:tcPr>
          <w:p>
            <w:pPr>
              <w:spacing w:after="60" w:before="6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5904"/>
          </w:tcPr>
          <w:p>
            <w:pPr>
              <w:spacing w:after="60" w:before="60"/>
            </w:pPr>
            <w:r>
              <w:rPr>
                <w:b/>
                <w:sz w:val="20"/>
              </w:rPr>
              <w:t>Resultado o límite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Conservar reglas del núcleo</w:t>
            </w:r>
          </w:p>
        </w:tc>
        <w:tc>
          <w:tcPr>
            <w:tcW w:type="dxa" w:w="590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Fórmulas y contratos comparados con baseline; correcciones funcionales registradas aparte.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Evitar pérdida por persistencia fallida</w:t>
            </w:r>
          </w:p>
        </w:tc>
        <w:tc>
          <w:tcPr>
            <w:tcW w:type="dxa" w:w="590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Texto/borrador conservados ante rechazo real; confirmación exacta de revisión y bloqueo del segundo envío.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Asociar resultados al envío</w:t>
            </w:r>
          </w:p>
        </w:tc>
        <w:tc>
          <w:tcPr>
            <w:tcW w:type="dxa" w:w="590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UUID confirmado, listener/sondeo/reintento de lectura del mismo documento y generación.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Cerrar temporadas según reglas aceptadas</w:t>
            </w:r>
          </w:p>
        </w:tc>
        <w:tc>
          <w:tcPr>
            <w:tcW w:type="dxa" w:w="590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UTC, pendientes y ledger comprobados localmente; falta operación cloud real.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Entregar versión revisable</w:t>
            </w:r>
          </w:p>
        </w:tc>
        <w:tc>
          <w:tcPr>
            <w:tcW w:type="dxa" w:w="590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Fuentes, informe, UML editable, APK demo, pruebas y comandos; PR en borrador para validación pendiente.</w:t>
            </w:r>
          </w:p>
        </w:tc>
      </w:tr>
    </w:tbl>
    <w:p>
      <w:pPr>
        <w:pStyle w:val="Ttulo2"/>
      </w:pPr>
      <w:r>
        <w:t>1 4 Definiciones</w:t>
      </w:r>
    </w:p>
    <w:p>
      <w:r>
        <w:t>Score: evaluación 0–100; rating: progreso competitivo general; Merit: moneda con reglas conservadas. Rating estacional: suma de variaciones generales desde entrada elegible, sin reiniciar placement. R8: evaluador recuperado, con HTTP sustituido sólo en laboratorio.</w:t>
      </w:r>
    </w:p>
    <w:p>
      <w:r>
        <w:br w:type="page"/>
      </w:r>
    </w:p>
    <w:p>
      <w:pPr>
        <w:pStyle w:val="Ttulo1"/>
      </w:pPr>
      <w:r>
        <w:t>2 Metodología y equipo</w:t>
      </w:r>
    </w:p>
    <w:p>
      <w:pPr>
        <w:pStyle w:val="Ttulo2"/>
      </w:pPr>
      <w:r>
        <w:t>2 1 Uso de Scrum y autoridad de las fuentes</w:t>
      </w:r>
    </w:p>
    <w:p>
      <w:r>
        <w:t>La plantilla solicita Scrum, valores, roles, comunicación y distribución individual. El informe humano contiene visión y planificación histórica junto a campos aún por llenar y ejemplos. No se convierte esa planificación en ejecución. Las etapas IMPL, CORE, RET, SEA y FIN identifican trabajo observado del agente, no sprints del equipo.</w:t>
      </w:r>
    </w:p>
    <w:p>
      <w:pPr>
        <w:pStyle w:val="Ttulo2"/>
      </w:pPr>
      <w:r>
        <w:t>2 2 Roles y aportes acreditados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304"/>
          </w:tcPr>
          <w:p>
            <w:pPr>
              <w:spacing w:after="60" w:before="60"/>
            </w:pPr>
            <w:r>
              <w:rPr>
                <w:b/>
                <w:sz w:val="20"/>
              </w:rPr>
              <w:t>Actor o fuente</w:t>
            </w:r>
          </w:p>
        </w:tc>
        <w:tc>
          <w:tcPr>
            <w:tcW w:type="dxa" w:w="4032"/>
          </w:tcPr>
          <w:p>
            <w:pPr>
              <w:spacing w:after="60" w:before="60"/>
            </w:pPr>
            <w:r>
              <w:rPr>
                <w:b/>
                <w:sz w:val="20"/>
              </w:rPr>
              <w:t>Aporte acreditado</w:t>
            </w:r>
          </w:p>
        </w:tc>
        <w:tc>
          <w:tcPr>
            <w:tcW w:type="dxa" w:w="3024"/>
          </w:tcPr>
          <w:p>
            <w:pPr>
              <w:spacing w:after="60" w:before="60"/>
            </w:pPr>
            <w:r>
              <w:rPr>
                <w:b/>
                <w:sz w:val="20"/>
              </w:rPr>
              <w:t>Lo que no se atribuye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Marco y prompts de este chat</w:t>
            </w:r>
          </w:p>
        </w:tc>
        <w:tc>
          <w:tcPr>
            <w:tcW w:type="dxa" w:w="4032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Alcance, reglas de borrador/espera/mode, selección Ranked, temporadas y permisos de ejecución/publicación.</w:t>
            </w:r>
          </w:p>
        </w:tc>
        <w:tc>
          <w:tcPr>
            <w:tcW w:type="dxa" w:w="302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Implementación manual, ejecución de tests o revisión de UML por recibir instrucciones.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Renzo y paquete recuperado</w:t>
            </w:r>
          </w:p>
        </w:tc>
        <w:tc>
          <w:tcPr>
            <w:tcW w:type="dxa" w:w="4032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Comunicación humana de subida; ZIP contrastado de código/configuración auténticos.</w:t>
            </w:r>
          </w:p>
        </w:tc>
        <w:tc>
          <w:tcPr>
            <w:tcW w:type="dxa" w:w="302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Autoría de cada archivo, aprobación grupal posterior o integraciones cloud funcionando.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Informe humano recuperado I2</w:t>
            </w:r>
          </w:p>
        </w:tc>
        <w:tc>
          <w:tcPr>
            <w:tcW w:type="dxa" w:w="4032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Propósito/visión/ODS y antecedentes de equipo; export de sólo lectura.</w:t>
            </w:r>
          </w:p>
        </w:tc>
        <w:tc>
          <w:tcPr>
            <w:tcW w:type="dxa" w:w="302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Toda su prosa a su último editor; ejemplos como hechos.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Codex</w:t>
            </w:r>
          </w:p>
        </w:tc>
        <w:tc>
          <w:tcPr>
            <w:tcW w:type="dxa" w:w="4032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Código modificado, arnés, fixtures, pruebas ejecutadas, revisión y documentos derivados.</w:t>
            </w:r>
          </w:p>
        </w:tc>
        <w:tc>
          <w:tcPr>
            <w:tcW w:type="dxa" w:w="302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Contribuciones estudiantiles o revisión independiente.</w:t>
            </w:r>
          </w:p>
        </w:tc>
      </w:tr>
    </w:tbl>
    <w:p>
      <w:pPr>
        <w:pStyle w:val="Ttulo2"/>
      </w:pPr>
      <w:r>
        <w:t>2 3 Participación y problemas de coordinación</w:t>
      </w:r>
    </w:p>
    <w:p>
      <w:r>
        <w:t>Para acreditar el curso faltan distribución real por integrante, evidencias de ceremonias, acuerdos de comunicación y resolución de problemas. El equipo debe vincular sus propios commits, tareas y pruebas a esos apartados. La disponibilidad de este paquete no sustituye comprensión ni sustentación individual sin IA.</w:t>
      </w:r>
    </w:p>
    <w:p>
      <w:r>
        <w:br w:type="page"/>
      </w:r>
    </w:p>
    <w:p>
      <w:pPr>
        <w:pStyle w:val="Ttulo1"/>
      </w:pPr>
      <w:r>
        <w:t>3 Métricas y estimaciones</w:t>
      </w:r>
    </w:p>
    <w:p>
      <w:pPr>
        <w:pStyle w:val="Ttulo2"/>
      </w:pPr>
      <w:r>
        <w:t>3 1 Métricas disponibles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08"/>
          </w:tcPr>
          <w:p>
            <w:pPr>
              <w:spacing w:after="60" w:before="60"/>
            </w:pPr>
            <w:r>
              <w:rPr>
                <w:b/>
                <w:sz w:val="20"/>
              </w:rPr>
              <w:t>Medición observada</w:t>
            </w:r>
          </w:p>
        </w:tc>
        <w:tc>
          <w:tcPr>
            <w:tcW w:type="dxa" w:w="4752"/>
          </w:tcPr>
          <w:p>
            <w:pPr>
              <w:spacing w:after="60" w:before="60"/>
            </w:pPr>
            <w:r>
              <w:rPr>
                <w:b/>
                <w:sz w:val="20"/>
              </w:rPr>
              <w:t>Interpretación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FIN-002: 7 métodos Android PASS</w:t>
            </w:r>
          </w:p>
        </w:tc>
        <w:tc>
          <w:tcPr>
            <w:tcW w:type="dxa" w:w="4752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Seis flujos y callback de borrado bajo reglas nuevas propuestas; repeticiones anteriores no se suman.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FIN-001: 39 comprobaciones de seguridad PASS</w:t>
            </w:r>
          </w:p>
        </w:tc>
        <w:tc>
          <w:tcPr>
            <w:tcW w:type="dxa" w:w="4752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REST con tokens Auth de emulador y Admin fixtures; no auditoría cloud.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FIN-002: 14 casos de operación PASS</w:t>
            </w:r>
          </w:p>
        </w:tc>
        <w:tc>
          <w:tcPr>
            <w:tcW w:type="dxa" w:w="4752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UTC, concurrente/repetido, tardío, 1.201 miembros y 1.203 Ranked escaneados.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FIN-002: 287 contrastes estáticos PASS</w:t>
            </w:r>
          </w:p>
        </w:tc>
        <w:tc>
          <w:tcPr>
            <w:tcW w:type="dxa" w:w="4752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Oráculos de conservación/trazabilidad; no 287 pruebas funcionales.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SEA-001 y CORE-FINAL</w:t>
            </w:r>
          </w:p>
        </w:tc>
        <w:tc>
          <w:tcPr>
            <w:tcW w:type="dxa" w:w="4752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Resultados originales preservados por suite; no sumatoria de cobertura ni cumplimiento individual.</w:t>
            </w:r>
          </w:p>
        </w:tc>
      </w:tr>
    </w:tbl>
    <w:p>
      <w:r>
        <w:t>Las duraciones de laboratorio se conservan en JSON y no constituyen SLA. Las 1.200 filas adicionales son sintéticas; no se extrapola disponibilidad, coste o latencia cloud. No se fabrican story points, velocidad, burn-up, burn-down, horas individuales o porcentajes de influencia IA para cumplir la plantilla.</w:t>
      </w:r>
    </w:p>
    <w:p>
      <w:pPr>
        <w:pStyle w:val="Ttulo2"/>
      </w:pPr>
      <w:r>
        <w:t>3 2 Estimaciones y estadística Scrum pendientes</w:t>
      </w:r>
    </w:p>
    <w:p>
      <w:r>
        <w:t>Se requiere el registro real de estimaciones y cambios de backlog del equipo, con fechas y criterios. Las fases del agente no reemplazan esas fuentes. Si no existen, el informe debe declarar esa ausencia y el profesor decidir su consecuencia académica.</w:t>
      </w:r>
    </w:p>
    <w:p>
      <w:r>
        <w:br w:type="page"/>
      </w:r>
    </w:p>
    <w:p>
      <w:pPr>
        <w:pStyle w:val="Ttulo1"/>
      </w:pPr>
      <w:r>
        <w:t>4 Releases y sprints</w:t>
      </w:r>
    </w:p>
    <w:p>
      <w:pPr>
        <w:pStyle w:val="Ttulo2"/>
      </w:pPr>
      <w:r>
        <w:t>4 1 Evolución verificable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3312"/>
          </w:tcPr>
          <w:p>
            <w:pPr>
              <w:spacing w:after="60" w:before="60"/>
            </w:pPr>
            <w:r>
              <w:rPr>
                <w:b/>
                <w:sz w:val="20"/>
              </w:rPr>
              <w:t>Fuente o etapa</w:t>
            </w:r>
          </w:p>
        </w:tc>
        <w:tc>
          <w:tcPr>
            <w:tcW w:type="dxa" w:w="6048"/>
          </w:tcPr>
          <w:p>
            <w:pPr>
              <w:spacing w:after="60" w:before="60"/>
            </w:pPr>
            <w:r>
              <w:rPr>
                <w:b/>
                <w:sz w:val="20"/>
              </w:rPr>
              <w:t>Evolución comprobada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Baseline 6498384 y master 7d879c2</w:t>
            </w:r>
          </w:p>
        </w:tc>
        <w:tc>
          <w:tcPr>
            <w:tcW w:type="dxa" w:w="6048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Código y documentación previos; 22 tests JVM históricos separados del producto completo.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IMPL-001–009</w:t>
            </w:r>
          </w:p>
        </w:tc>
        <w:tc>
          <w:tcPr>
            <w:tcW w:type="dxa" w:w="6048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Extracciones conservadoras acotadas y caracterización; mejoras centrales no se declaran resueltas sólo por traslado.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REC/AND/CORE</w:t>
            </w:r>
          </w:p>
        </w:tc>
        <w:tc>
          <w:tcPr>
            <w:tcW w:type="dxa" w:w="6048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Originales recuperados, build auténtico, Compose/emuladores y correcciones de contratos A05–A07.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RET-006 y SEA-001</w:t>
            </w:r>
          </w:p>
        </w:tc>
        <w:tc>
          <w:tcPr>
            <w:tcW w:type="dxa" w:w="6048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Retiradas funcionales aprobadas y temporadas con decisiones humanas explícitas.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FIN-001/002</w:t>
            </w:r>
          </w:p>
        </w:tc>
        <w:tc>
          <w:tcPr>
            <w:tcW w:type="dxa" w:w="6048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Propuesta nueva de reglas, initializer idempotente, aceptación estricta, informe, UML y entrega revisable.</w:t>
            </w:r>
          </w:p>
        </w:tc>
      </w:tr>
    </w:tbl>
    <w:p>
      <w:pPr>
        <w:pStyle w:val="Ttulo2"/>
      </w:pPr>
      <w:r>
        <w:t>4 2 Correspondencia de Releases 1 y 2</w:t>
      </w:r>
    </w:p>
    <w:p>
      <w:r>
        <w:t>I2 §1.2.3 describe una intención incremental de MVP y competencia. Se conserva como antecedente, con funciones retiradas reconciliadas en el alcance actual. No se asignan las etapas del agente a Release 1/2 ni a sprints históricos. Faltan actas, objetivos y aceptación reales de ambos releases, que P2/P4 solicitan para la entrega académica.</w:t>
      </w:r>
    </w:p>
    <w:p>
      <w:r>
        <w:br w:type="page"/>
      </w:r>
    </w:p>
    <w:p>
      <w:pPr>
        <w:pStyle w:val="Ttulo1"/>
      </w:pPr>
      <w:r>
        <w:t>5 Requisitos y trazabilidad</w:t>
      </w:r>
    </w:p>
    <w:p>
      <w:pPr>
        <w:pStyle w:val="Ttulo2"/>
      </w:pPr>
      <w:r>
        <w:t>5 1 Backlog original y vigente</w:t>
      </w:r>
    </w:p>
    <w:p>
      <w:r>
        <w:t>Se contrastó H1 recibido con el Excel vigente exportado de sólo lectura. En la hoja «Épica Competir en la aplicación», E109/E111 corresponden a HU 3.27 y E113/E115 a HU 3.28. Sus criterios de ranking por rating de temporada, posición propia e historial de posición/rating finales coinciden. No se crean HU nuevas para los contratos técnicos ni se reasignan automáticamente los responsables históricos del backlog.</w:t>
      </w:r>
    </w:p>
    <w:p>
      <w:pPr>
        <w:pStyle w:val="Ttulo2"/>
      </w:pPr>
      <w:r>
        <w:t>5 2 Decisiones con procedencia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3600"/>
          </w:tcPr>
          <w:p>
            <w:pPr>
              <w:spacing w:after="60" w:before="60"/>
            </w:pPr>
            <w:r>
              <w:rPr>
                <w:b/>
                <w:sz w:val="20"/>
              </w:rPr>
              <w:t>Contrato</w:t>
            </w:r>
          </w:p>
        </w:tc>
        <w:tc>
          <w:tcPr>
            <w:tcW w:type="dxa" w:w="5760"/>
          </w:tcPr>
          <w:p>
            <w:pPr>
              <w:spacing w:after="60" w:before="60"/>
            </w:pPr>
            <w:r>
              <w:rPr>
                <w:b/>
                <w:sz w:val="20"/>
              </w:rPr>
              <w:t>Decisión humana registrada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DEC-MODE-001</w:t>
            </w:r>
          </w:p>
        </w:tc>
        <w:tc>
          <w:tcPr>
            <w:tcW w:type="dxa" w:w="5760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gamemode presente prevalece; gamemodeName sólo cuando falta. Fallbacks históricos inválido/ausente preservados.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DEC-DRAFT-REV/SCOPE-001</w:t>
            </w:r>
          </w:p>
        </w:tc>
        <w:tc>
          <w:tcPr>
            <w:tcW w:type="dxa" w:w="5760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Editar durante A; limpiar sólo revisión exacta, bloquear segundo envío pendiente; UID+ejercicio estable, históricos no atribuibles retenidos.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DEC-WAIT-RETRY/RES-001</w:t>
            </w:r>
          </w:p>
        </w:tc>
        <w:tc>
          <w:tcPr>
            <w:tcW w:type="dxa" w:w="5760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Reintento manual mismo ID, nueva generación, 3 s y &gt;90 s; Results actualiza emparejamiento del mismo ID.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DEC-RANKED-SELECT-001</w:t>
            </w:r>
          </w:p>
        </w:tc>
        <w:tc>
          <w:tcPr>
            <w:tcW w:type="dxa" w:w="5760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Elegir Standard/On-Topic; error conserva elección; reputación histórica congelada sólo como precio.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DEC-SEASON-001</w:t>
            </w:r>
          </w:p>
        </w:tc>
        <w:tc>
          <w:tcPr>
            <w:tcW w:type="dxa" w:w="5760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Mensual UTC, colocado+Ranked, neto sin reinicio, empate compartido, confirmado al guardar, cierre con pendientes resueltos, sin premios ni backfill.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DEC-AI-AUTH-001</w:t>
            </w:r>
          </w:p>
        </w:tc>
        <w:tc>
          <w:tcPr>
            <w:tcW w:type="dxa" w:w="5760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Permiso del profesor comunicado por Marco; autoría real del agente, sin exigencia de copiar código.</w:t>
            </w:r>
          </w:p>
        </w:tc>
      </w:tr>
    </w:tbl>
    <w:p>
      <w:pPr>
        <w:pStyle w:val="Ttulo2"/>
      </w:pPr>
      <w:r>
        <w:t>5 3 Aceptación y riesgos</w:t>
      </w:r>
    </w:p>
    <w:p>
      <w:r>
        <w:t>La matriz vigente en docs/FINAL_DELIVERY.md y el mapa delivery/source-map.json vinculan contratos, clases/métodos y evidencias. Los fallos rojos anteriores se preservan. Riesgos restantes: proveedor externo, reglas originales no suministradas, antiabuso servidor, coste de consultas estacionales y obligaciones individuales. No se cierra aceptación externa con un doble fijo de puntuación.</w:t>
      </w:r>
    </w:p>
    <w:p>
      <w:r>
        <w:br w:type="page"/>
      </w:r>
    </w:p>
    <w:p>
      <w:pPr>
        <w:pStyle w:val="Ttulo1"/>
      </w:pPr>
      <w:r>
        <w:t>6 Arquitectura</w:t>
      </w:r>
    </w:p>
    <w:p>
      <w:pPr>
        <w:pStyle w:val="Ttulo2"/>
      </w:pPr>
      <w:r>
        <w:t>6 1 Interesados metas y restricciones</w:t>
      </w:r>
    </w:p>
    <w:p>
      <w:r>
        <w:t>El usuario necesita conservar su texto y recuperar el resultado correcto. El equipo necesita reproducibilidad y revisión; el docente exige evidencia y comprensión individual. Se mantienen versiones originales Android/Gradle/Functions, SDK API 36/Build Tools 36.0.0 y Node20; laboratorio demo autorizado, ningún deploy ni dato real. No se impone Clean Architecture ni un patrón por preferencia del agente.</w:t>
      </w:r>
    </w:p>
    <w:p>
      <w:pPr>
        <w:pStyle w:val="Ttulo2"/>
      </w:pPr>
      <w:r>
        <w:t>6 2 Vistas y justificación</w:t>
      </w:r>
    </w:p>
    <w:p>
      <w:r>
        <w:t>AppRoot conecta eventos de UI; WritingEditor posee la revisión editable; DraftManager persiste contexto/revisiones; AppViewModel coordina guardado e identidad/generación. Repositorios usan SDK concreto. Functions calcula y aplica efectos con transacciones y ledger estacional. Las siguientes vistas incluyen dependencias conservadas y límites reales del entorno.</w:t>
      </w:r>
    </w:p>
    <w:p>
      <w:r>
        <w:br w:type="page"/>
      </w:r>
    </w:p>
    <w:p>
      <w:pPr>
        <w:pStyle w:val="Ttulo2"/>
      </w:pPr>
      <w:r>
        <w:t>Vista de componentes</w:t>
      </w:r>
    </w:p>
    <w:p>
      <w:r>
        <w:drawing>
          <wp:inline xmlns:a="http://schemas.openxmlformats.org/drawingml/2006/main" xmlns:pic="http://schemas.openxmlformats.org/drawingml/2006/picture">
            <wp:extent cx="5943600" cy="36531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</w:pPr>
      <w:r>
        <w:t>Fuente: modelo selectivo de Codex sobre el código final. Editable: delivery/uml/components.puml. No acredita revisión humana.</w:t>
      </w:r>
    </w:p>
    <w:p>
      <w:r>
        <w:br w:type="page"/>
      </w:r>
    </w:p>
    <w:p>
      <w:pPr>
        <w:pStyle w:val="Ttulo2"/>
      </w:pPr>
      <w:r>
        <w:t>Vista de despliegue comprobado</w:t>
      </w:r>
    </w:p>
    <w:p>
      <w:r>
        <w:drawing>
          <wp:inline xmlns:a="http://schemas.openxmlformats.org/drawingml/2006/main" xmlns:pic="http://schemas.openxmlformats.org/drawingml/2006/picture">
            <wp:extent cx="5943600" cy="24139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</w:pPr>
      <w:r>
        <w:t>Fuente: modelo selectivo de Codex sobre el código final. Editable: delivery/uml/deployment.puml. No acredita revisión humana.</w:t>
      </w:r>
    </w:p>
    <w:p>
      <w:r>
        <w:br w:type="page"/>
      </w:r>
    </w:p>
    <w:p>
      <w:pPr>
        <w:pStyle w:val="Ttulo1"/>
      </w:pPr>
      <w:r>
        <w:t>7 Diseño y refactorización</w:t>
      </w:r>
    </w:p>
    <w:p>
      <w:pPr>
        <w:pStyle w:val="Ttulo2"/>
      </w:pPr>
      <w:r>
        <w:t>7 1 Separaciones y contraargumentos SOLID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1584"/>
          </w:tcPr>
          <w:p>
            <w:pPr>
              <w:spacing w:after="60" w:before="60"/>
            </w:pPr>
            <w:r>
              <w:rPr>
                <w:b/>
                <w:sz w:val="20"/>
              </w:rPr>
              <w:t>Bloque</w:t>
            </w:r>
          </w:p>
        </w:tc>
        <w:tc>
          <w:tcPr>
            <w:tcW w:type="dxa" w:w="7776"/>
          </w:tcPr>
          <w:p>
            <w:pPr>
              <w:spacing w:after="60" w:before="60"/>
            </w:pPr>
            <w:r>
              <w:rPr>
                <w:b/>
                <w:sz w:val="20"/>
              </w:rPr>
              <w:t>Mejora y contraargumento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A01/A02</w:t>
            </w:r>
          </w:p>
        </w:tc>
        <w:tc>
          <w:tcPr>
            <w:tcW w:type="dxa" w:w="7776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Regex reutilizada y conteo/reconocimiento conservados; una condición o if/else no demuestra infracción SOLID.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A03/A04</w:t>
            </w:r>
          </w:p>
        </w:tc>
        <w:tc>
          <w:tcPr>
            <w:tcW w:type="dxa" w:w="7776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Presentación informativa Writing y Score/feedback Results separadas por motivos de cambio propios. Contraargumento: para componentes pequeños una pantalla única podía ser suficiente.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A05</w:t>
            </w:r>
          </w:p>
        </w:tc>
        <w:tc>
          <w:tcPr>
            <w:tcW w:type="dxa" w:w="7776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Decisión de admisión pura; revisión/contexto del borrador separados de vida de pantalla. No se añade política nueva a la extracción.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A06</w:t>
            </w:r>
          </w:p>
        </w:tc>
        <w:tc>
          <w:tcPr>
            <w:tcW w:type="dxa" w:w="7776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Política escalar aislada; VM conserva coordinación y SDK concreto. No se acredita DIP/ISP completos.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A07</w:t>
            </w:r>
          </w:p>
        </w:tc>
        <w:tc>
          <w:tcPr>
            <w:tcW w:type="dxa" w:w="7776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Cálculo literal aislado y matching separado del evaluador. Atomicidad/idempotencia son correcciones funcionales, no un principio SOLID en sí mismas.</w:t>
            </w:r>
          </w:p>
        </w:tc>
      </w:tr>
    </w:tbl>
    <w:p>
      <w:pPr>
        <w:pStyle w:val="Ttulo2"/>
      </w:pPr>
      <w:r>
        <w:t>7 2 Conservación y correcciones funcionales</w:t>
      </w:r>
    </w:p>
    <w:p>
      <w:r>
        <w:t>Se conservaron límites inclusivos y nullable, tokenización, mensajes originales, UUID, orden confirmado antes de esperar, fórmulas de rating/Merit y economía. Se registran aparte correcciones de isPlaced, modo compatible, guardado/revisión, identidad/reintento, aplicación atómica de evaluación/pareja/ghost, initializer que no sobrescribe progreso, y poda de Ranked pendiente. Las retiradas y temporadas son cambios funcionales deliberados.</w:t>
      </w:r>
    </w:p>
    <w:p>
      <w:r>
        <w:br w:type="page"/>
      </w:r>
    </w:p>
    <w:p>
      <w:pPr>
        <w:pStyle w:val="Ttulo2"/>
      </w:pPr>
      <w:r>
        <w:t>Clases y contratos seleccionados</w:t>
      </w:r>
    </w:p>
    <w:p>
      <w:r>
        <w:drawing>
          <wp:inline xmlns:a="http://schemas.openxmlformats.org/drawingml/2006/main" xmlns:pic="http://schemas.openxmlformats.org/drawingml/2006/picture">
            <wp:extent cx="5943600" cy="22492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</w:pPr>
      <w:r>
        <w:t>Fuente: modelo selectivo de Codex sobre el código final. Editable: delivery/uml/classes.puml. No acredita revisión humana.</w:t>
      </w:r>
    </w:p>
    <w:p>
      <w:r>
        <w:br w:type="page"/>
      </w:r>
    </w:p>
    <w:p>
      <w:pPr>
        <w:pStyle w:val="Ttulo1"/>
      </w:pPr>
      <w:r>
        <w:t>8 Comportamiento dinámico</w:t>
      </w:r>
    </w:p>
    <w:p>
      <w:pPr>
        <w:pStyle w:val="Ttulo2"/>
      </w:pPr>
      <w:r>
        <w:t>8 1 Recorrido de guardado y espera</w:t>
      </w:r>
    </w:p>
    <w:p>
      <w:r>
        <w:t>Sólo el éxito de Task.set del repositorio confirma la persistencia. VM libera bloqueo, notifica onPersisted y después espera UUID. Writing confirma la revisión guardada: si hubo B o A→B→A la revisión monótona cambió y la limpieza no procede. Error conserva texto/borrador. Listener y sondeo reciben el mismo ID y generación; B o callbacks viejos no resuelven A.</w:t>
      </w:r>
    </w:p>
    <w:p>
      <w:r>
        <w:br w:type="page"/>
      </w:r>
    </w:p>
    <w:p>
      <w:pPr>
        <w:pStyle w:val="Ttulo2"/>
      </w:pPr>
      <w:r>
        <w:t>Secuencia de persistencia y consulta</w:t>
      </w:r>
    </w:p>
    <w:p>
      <w:r>
        <w:drawing>
          <wp:inline xmlns:a="http://schemas.openxmlformats.org/drawingml/2006/main" xmlns:pic="http://schemas.openxmlformats.org/drawingml/2006/picture">
            <wp:extent cx="5943600" cy="56633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mission-sequenc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</w:pPr>
      <w:r>
        <w:t>Fuente: modelo selectivo de Codex sobre el código final. Editable: delivery/uml/submission-sequence.puml. No acredita revisión humana.</w:t>
      </w:r>
    </w:p>
    <w:p>
      <w:pPr>
        <w:pStyle w:val="Ttulo2"/>
      </w:pPr>
      <w:r>
        <w:t>8 2 Correspondencia de mensajes con el código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3024"/>
          </w:tcPr>
          <w:p>
            <w:pPr>
              <w:spacing w:after="60" w:before="60"/>
            </w:pPr>
            <w:r>
              <w:rPr>
                <w:b/>
                <w:sz w:val="20"/>
              </w:rPr>
              <w:t>Mensaje o método</w:t>
            </w:r>
          </w:p>
        </w:tc>
        <w:tc>
          <w:tcPr>
            <w:tcW w:type="dxa" w:w="6336"/>
          </w:tcPr>
          <w:p>
            <w:pPr>
              <w:spacing w:after="60" w:before="60"/>
            </w:pPr>
            <w:r>
              <w:rPr>
                <w:b/>
                <w:sz w:val="20"/>
              </w:rPr>
              <w:t>Archivo y línea actual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addSubmission</w:t>
            </w:r>
          </w:p>
        </w:tc>
        <w:tc>
          <w:tcPr>
            <w:tcW w:type="dxa" w:w="6336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app/src/main/java/com/inkr8/repository/FirestoreSubmissionRepository.kt:19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submitWriting</w:t>
            </w:r>
          </w:p>
        </w:tc>
        <w:tc>
          <w:tcPr>
            <w:tcW w:type="dxa" w:w="6336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app/src/main/java/com/inkr8/viewmodel/AppViewModel.kt:119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startLoadingResult</w:t>
            </w:r>
          </w:p>
        </w:tc>
        <w:tc>
          <w:tcPr>
            <w:tcW w:type="dxa" w:w="6336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app/src/main/java/com/inkr8/viewmodel/AppViewModel.kt:218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retryLoadingResult</w:t>
            </w:r>
          </w:p>
        </w:tc>
        <w:tc>
          <w:tcPr>
            <w:tcW w:type="dxa" w:w="6336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app/src/main/java/com/inkr8/viewmodel/AppViewModel.kt:266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handleSubmissionUpdate</w:t>
            </w:r>
          </w:p>
        </w:tc>
        <w:tc>
          <w:tcPr>
            <w:tcW w:type="dxa" w:w="6336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app/src/main/java/com/inkr8/viewmodel/AppViewModel.kt:279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confirmRevision</w:t>
            </w:r>
          </w:p>
        </w:tc>
        <w:tc>
          <w:tcPr>
            <w:tcW w:type="dxa" w:w="6336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app/src/main/java/com/inkr8/utils/DraftManager.kt:64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WritingEditor</w:t>
            </w:r>
          </w:p>
        </w:tc>
        <w:tc>
          <w:tcPr>
            <w:tcW w:type="dxa" w:w="6336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app/src/main/java/com/inkr8/screens/Writing.kt:104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recordSeasonSubmission</w:t>
            </w:r>
          </w:p>
        </w:tc>
        <w:tc>
          <w:tcPr>
            <w:tcW w:type="dxa" w:w="6336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functions/src/seasons/seasonLedger.ts:16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syncSeasonSubmission</w:t>
            </w:r>
          </w:p>
        </w:tc>
        <w:tc>
          <w:tcPr>
            <w:tcW w:type="dxa" w:w="6336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functions/src/seasons/seasonLedger.ts:48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closeSeason</w:t>
            </w:r>
          </w:p>
        </w:tc>
        <w:tc>
          <w:tcPr>
            <w:tcW w:type="dxa" w:w="6336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functions/src/seasons/seasonLedger.ts:80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tryMatchRankedSubmission</w:t>
            </w:r>
          </w:p>
        </w:tc>
        <w:tc>
          <w:tcPr>
            <w:tcW w:type="dxa" w:w="6336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functions/src/submissions/rankedMatching.ts:4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calculateDynamicRatingChange</w:t>
            </w:r>
          </w:p>
        </w:tc>
        <w:tc>
          <w:tcPr>
            <w:tcW w:type="dxa" w:w="6336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functions/src/utils/dynamicRatingChange.ts:1</w:t>
            </w:r>
          </w:p>
        </w:tc>
      </w:tr>
    </w:tbl>
    <w:p>
      <w:r>
        <w:t>SHA de cada archivo y baseline se conservan en delivery/source-map.json. La tabla satisface la correspondencia técnica de P4 §8.1.2.5 en estas secuencias seleccionadas; no afirma que cubra todas las HU ni una revisión humana del modelo.</w:t>
      </w:r>
    </w:p>
    <w:p>
      <w:r>
        <w:br w:type="page"/>
      </w:r>
    </w:p>
    <w:p>
      <w:pPr>
        <w:pStyle w:val="Ttulo2"/>
      </w:pPr>
      <w:r>
        <w:t>Secuencia de temporada y cierre</w:t>
      </w:r>
    </w:p>
    <w:p>
      <w:r>
        <w:drawing>
          <wp:inline xmlns:a="http://schemas.openxmlformats.org/drawingml/2006/main" xmlns:pic="http://schemas.openxmlformats.org/drawingml/2006/picture">
            <wp:extent cx="5943600" cy="50917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son-sequenc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1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</w:pPr>
      <w:r>
        <w:t>Fuente: modelo selectivo de Codex sobre el código final. Editable: delivery/uml/season-sequence.puml. No acredita revisión humana.</w:t>
      </w:r>
    </w:p>
    <w:p>
      <w:r>
        <w:br w:type="page"/>
      </w:r>
    </w:p>
    <w:p>
      <w:pPr>
        <w:pStyle w:val="Ttulo1"/>
      </w:pPr>
      <w:r>
        <w:t>9 Interfaz datos e integración</w:t>
      </w:r>
    </w:p>
    <w:p>
      <w:pPr>
        <w:pStyle w:val="Ttulo2"/>
      </w:pPr>
      <w:r>
        <w:t>9 1 Interfaz y recorridos</w:t>
      </w:r>
    </w:p>
    <w:p>
      <w:r>
        <w:t>Se ejecutaron Writing, Results, perfil y temporadas mediante AppRoot productivo en AVD con WHPX. Standard/On-Topic se escriben, guardan, evalúan localmente y muestran 80.00% del doble R8. Ranked pasa por el callable económico genuino. Perfil muestra Merit/rating; temporadas usa callables Auth y acceso directo denegado. El host local permite entrar sin instrumentación; Google OAuth, Ads y sus pantallas externas no fueron validados.</w:t>
      </w:r>
    </w:p>
    <w:p>
      <w:pPr>
        <w:pStyle w:val="Ttulo2"/>
      </w:pPr>
      <w:r>
        <w:t>9 2 Datos y compatibilidad</w:t>
      </w:r>
    </w:p>
    <w:p>
      <w:r>
        <w:t>Los lectores priorizan gamemode si existe y usan gamemodeName cuando falta; Playmode permanece separado. Se preservan escritores y casos ausente/inválido por capa. Borradores antiguos sin dueño no se borran ni migran a una cuenta. Colecciones históricas de torneos/ligas/reputación quedan intactas; nueva administración estacional es sólo Functions/Admin.</w:t>
      </w:r>
    </w:p>
    <w:p>
      <w:r>
        <w:br w:type="page"/>
      </w:r>
    </w:p>
    <w:p>
      <w:pPr>
        <w:pStyle w:val="Ttulo2"/>
      </w:pPr>
      <w:r>
        <w:t>Rutas y referencias de Firestore</w:t>
      </w:r>
    </w:p>
    <w:p>
      <w:r>
        <w:drawing>
          <wp:inline xmlns:a="http://schemas.openxmlformats.org/drawingml/2006/main" xmlns:pic="http://schemas.openxmlformats.org/drawingml/2006/picture">
            <wp:extent cx="5943600" cy="52423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model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2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</w:pPr>
      <w:r>
        <w:t>Fuente: modelo selectivo de Codex sobre el código final. Editable: delivery/uml/data-model.puml. No acredita revisión humana.</w:t>
      </w:r>
    </w:p>
    <w:p>
      <w:r>
        <w:br w:type="page"/>
      </w:r>
    </w:p>
    <w:p>
      <w:pPr>
        <w:pStyle w:val="Ttulo2"/>
      </w:pPr>
      <w:r>
        <w:t>9 3 Seguridad e integración</w:t>
      </w:r>
    </w:p>
    <w:p>
      <w:r>
        <w:t>security/firestore.proposed.rules es una propuesta NUEVA de Codex, no un original recuperado ni una política desplegada. Sólo owner lee perfil/submissions; rating, Merit, placement, ledgers y temporadas no se conceden al cliente. Registro de nombre es atómico, catálogo sólo lectura autenticada y liberación de sesión conserva fallo actual. Reglas auténticas no aparecieron en el paquete o fuentes comprobadas.</w:t>
      </w:r>
    </w:p>
    <w:p>
      <w:r>
        <w:t>La propuesta deniega el cierre de cuenta cliente: el ciclo anterior permitía recrear saldo sin cierre Auth confiable. Settings informa error. Restituirlo requiere ciclo Auth confiable y política; no consta una retirada aprobada de esa función. Las reglas no prueban antiabuso de metadata ni reserva única en servidor. Philosopher conserva un placeholder que acepta cualquier token no vacío; no valida compras y bloquea cloud. Se retiró el token del log con prueba roja/verde y economía intacta. No se borraron datos reales ni se acredita seguridad cloud completa.</w:t>
      </w:r>
    </w:p>
    <w:p>
      <w:r>
        <w:t>El borrado directo de Ranked podía adelantarse al registro estacional: roja REST 200 frente a403. El nuevo callable deleteSubmission verifica propietario, estado y createTime servidor, acuse y liquidación en transacción; Android conserva callbacks. Los 16 casos SDK/REST/HTTP pasan: pendientes, propietario ajeno, preactivación, repetición, ocho concurrentes y asignaciones intactas. No hay nuevos costes, ganancias ni backfill. El primer404 fue recarga del emulador; logs y aserciones se conservan.</w:t>
      </w:r>
    </w:p>
    <w:p>
      <w:r>
        <w:br w:type="page"/>
      </w:r>
    </w:p>
    <w:p>
      <w:pPr>
        <w:pStyle w:val="Ttulo1"/>
      </w:pPr>
      <w:r>
        <w:t>10 Pruebas y aceptación</w:t>
      </w:r>
    </w:p>
    <w:p>
      <w:pPr>
        <w:pStyle w:val="Ttulo2"/>
      </w:pPr>
      <w:r>
        <w:t>10 1 Entorno y resultados reales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4032"/>
          </w:tcPr>
          <w:p>
            <w:pPr>
              <w:spacing w:after="60" w:before="60"/>
            </w:pPr>
            <w:r>
              <w:rPr>
                <w:b/>
                <w:sz w:val="20"/>
              </w:rPr>
              <w:t>Suite y evidencia</w:t>
            </w:r>
          </w:p>
        </w:tc>
        <w:tc>
          <w:tcPr>
            <w:tcW w:type="dxa" w:w="1584"/>
          </w:tcPr>
          <w:p>
            <w:pPr>
              <w:spacing w:after="60" w:before="60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3744"/>
          </w:tcPr>
          <w:p>
            <w:pPr>
              <w:spacing w:after="60" w:before="60"/>
            </w:pPr>
            <w:r>
              <w:rPr>
                <w:b/>
                <w:sz w:val="20"/>
              </w:rPr>
              <w:t>Alcance</w:t>
            </w:r>
          </w:p>
        </w:tc>
      </w:tr>
      <w:tr>
        <w:trPr>
          <w:cantSplit/>
        </w:trPr>
        <w:tc>
          <w:tcPr>
            <w:tcW w:type="dxa" w:w="4032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FIN-002 ANDROID_ACCEPTANCE_FINAL.json</w:t>
            </w:r>
          </w:p>
        </w:tc>
        <w:tc>
          <w:tcPr>
            <w:tcW w:type="dxa" w:w="158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7 PASS</w:t>
            </w:r>
          </w:p>
        </w:tc>
        <w:tc>
          <w:tcPr>
            <w:tcW w:type="dxa" w:w="374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Reglas propuestas reales, Firestore/Auth/Functions local y Compose.</w:t>
            </w:r>
          </w:p>
        </w:tc>
      </w:tr>
      <w:tr>
        <w:trPr>
          <w:cantSplit/>
        </w:trPr>
        <w:tc>
          <w:tcPr>
            <w:tcW w:type="dxa" w:w="4032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FIN-001 security-verified.json</w:t>
            </w:r>
          </w:p>
        </w:tc>
        <w:tc>
          <w:tcPr>
            <w:tcW w:type="dxa" w:w="158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39 PASS</w:t>
            </w:r>
          </w:p>
        </w:tc>
        <w:tc>
          <w:tcPr>
            <w:tcW w:type="dxa" w:w="374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Owner/cross-user, falsas concesiones, admin-denied y defaults.</w:t>
            </w:r>
          </w:p>
        </w:tc>
      </w:tr>
      <w:tr>
        <w:trPr>
          <w:cantSplit/>
        </w:trPr>
        <w:tc>
          <w:tcPr>
            <w:tcW w:type="dxa" w:w="4032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FIN-002 season-operations-final.json</w:t>
            </w:r>
          </w:p>
        </w:tc>
        <w:tc>
          <w:tcPr>
            <w:tcW w:type="dxa" w:w="158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14 PASS</w:t>
            </w:r>
          </w:p>
        </w:tc>
        <w:tc>
          <w:tcPr>
            <w:tcW w:type="dxa" w:w="374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Mes UTC, tardíos, concurrencia/repetición, volumen y initializer.</w:t>
            </w:r>
          </w:p>
        </w:tc>
      </w:tr>
      <w:tr>
        <w:trPr>
          <w:cantSplit/>
        </w:trPr>
        <w:tc>
          <w:tcPr>
            <w:tcW w:type="dxa" w:w="4032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CORE-FINAL y SEA-001 originales</w:t>
            </w:r>
          </w:p>
        </w:tc>
        <w:tc>
          <w:tcPr>
            <w:tcW w:type="dxa" w:w="158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Preservados</w:t>
            </w:r>
          </w:p>
        </w:tc>
        <w:tc>
          <w:tcPr>
            <w:tcW w:type="dxa" w:w="374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Contratos revisión/draft/retry, Ranked11+ghost2+lifecycle1; no suma de repeticiones.</w:t>
            </w:r>
          </w:p>
        </w:tc>
      </w:tr>
      <w:tr>
        <w:trPr>
          <w:cantSplit/>
        </w:trPr>
        <w:tc>
          <w:tcPr>
            <w:tcW w:type="dxa" w:w="4032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FIN-002 audit-final-deletion/audit.json</w:t>
            </w:r>
          </w:p>
        </w:tc>
        <w:tc>
          <w:tcPr>
            <w:tcW w:type="dxa" w:w="158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287 PASS estáticos</w:t>
            </w:r>
          </w:p>
        </w:tc>
        <w:tc>
          <w:tcPr>
            <w:tcW w:type="dxa" w:w="3744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Fuente original y deltas declarados; no funcionamiento completo.</w:t>
            </w:r>
          </w:p>
        </w:tc>
      </w:tr>
    </w:tbl>
    <w:p>
      <w:pPr>
        <w:pStyle w:val="Ttulo2"/>
      </w:pPr>
      <w:r>
        <w:t>10 2 Dos fallos Android pendientes resueltos</w:t>
      </w:r>
    </w:p>
    <w:p>
      <w:r>
        <w:t>Historial fallaba por esperar el encabezado con puntos suspensivos antes de concluir el callable; ahora espera la fila de historia. El rechazo fallaba durante carga y luego por fixture inferior al mínimo de 50 palabras de Standard; se espera editor y se prepara texto válido. No se cambiaron límites productivos ni aserciones de rating, rechazo, contenido o borrador. La suite final de siete métodos pasa; los logs rojos y el error de compilación del soporte inicial se conservan.</w:t>
      </w:r>
    </w:p>
    <w:p>
      <w:pPr>
        <w:pStyle w:val="Ttulo2"/>
      </w:pPr>
      <w:r>
        <w:t>10 3 Dobles y límites de cobertura</w:t>
      </w:r>
    </w:p>
    <w:p>
      <w:r>
        <w:t>R8 HTTP entrega score 80 fijo; se usa evaluateWithR8 auténtico y su SDK, pero no un proveedor real. Auth es anónimo demo, no OAuth. Admin fixtures modelan catálogo, placement e historial, y asignan lista de palabras vacía en las seis sondas de escritura/historial; reconocimiento/límites se verificaron en suites previas. Operación usa metadata createTime explícita en dos fronteras y reloj controlado de cierre. Las transacciones son SDK real; no hay cron cloud, un mes real transcurrido ni una espera de 48 h real.</w:t>
      </w:r>
    </w:p>
    <w:p>
      <w:pPr>
        <w:pStyle w:val="Ttulo2"/>
      </w:pPr>
      <w:r>
        <w:t>10 4 Pruebas individuales del curso</w:t>
      </w:r>
    </w:p>
    <w:p>
      <w:r>
        <w:t>P3 Rubrica!D18 exige por integrante caja blanca con complejidad &gt;4, caja negra con &gt;4 entradas y unitarias con ≥4 casos; P1 exige comprensión/validación humana. Este informe no asigna las pruebas de Codex a personas. Faltan selección justificada, diseño y ejecución real por cada integrante, sus defectos/resultados y explicación de dominio. El paquete entrega apoyo técnico para ese trabajo, no lo acredita.</w:t>
      </w:r>
    </w:p>
    <w:p>
      <w:r>
        <w:br w:type="page"/>
      </w:r>
    </w:p>
    <w:p>
      <w:pPr>
        <w:pStyle w:val="Ttulo1"/>
      </w:pPr>
      <w:r>
        <w:t>11 Ética impacto y responsabilidad</w:t>
      </w:r>
    </w:p>
    <w:p>
      <w:pPr>
        <w:pStyle w:val="Ttulo2"/>
      </w:pPr>
      <w:r>
        <w:t>11 1 Análisis del producto por el agente</w:t>
      </w:r>
    </w:p>
    <w:p>
      <w:r>
        <w:t>Ético/profesional: feedback de IA puede ser sesgado o incorrecto; una puntuación no es diagnóstico educativo. Debe informarse el uso y permitir juicio propio. Social: competencia y moneda pueden incentivar ansiedad; Practice ofrece práctica sin exposición competitiva. Económico: calls externas y consultas por temporada tienen coste; el volumen local no mide coste cloud. Ambiental/global: proveedor y emulador consumen recursos; no se cuantificó impacto. Mitigaciones posibles requieren validación del equipo y no se inventan como acciones ya ejecutadas.</w:t>
      </w:r>
    </w:p>
    <w:p>
      <w:pPr>
        <w:pStyle w:val="Ttulo2"/>
      </w:pPr>
      <w:r>
        <w:t>11 2 Obligación individual</w:t>
      </w:r>
    </w:p>
    <w:p>
      <w:r>
        <w:t>P3 Rubrica!D20 y P4 capítulo 11 exigen informes individuales de impacto y mitigaciones. Cada integrante debe aportar reflexión auténtica; ni este análisis de Codex ni la lista de roles sustituye sus declaraciones. No se asignan porcentajes de uso de IA ni conclusiones personales inventadas.</w:t>
      </w:r>
    </w:p>
    <w:p>
      <w:r>
        <w:br w:type="page"/>
      </w:r>
    </w:p>
    <w:p>
      <w:pPr>
        <w:pStyle w:val="Ttulo1"/>
      </w:pPr>
      <w:r>
        <w:t>12 Repositorio y contribuciones</w:t>
      </w:r>
    </w:p>
    <w:p>
      <w:pPr>
        <w:pStyle w:val="Ttulo2"/>
      </w:pPr>
      <w:r>
        <w:t>12 1 Repositorio y revisión</w:t>
      </w:r>
    </w:p>
    <w:p>
      <w:r>
        <w:t>Repositorio oficial: https://github.com/Rnz5/Inkr8-ISW2. Rama: codex/refactorizacion-por-bloques; destino master. La publicación actual fue autorizada por Marco en el prompt de FIN-002 y no incluye fusión o despliegue. Se preservaron el checkout anterior y un bundle privado del historial antes de preparar commits. La base 7d879c22030527e1d5f5003ad84b76b750d3b29e permanece como ancestro/oráculo.</w:t>
      </w:r>
    </w:p>
    <w:p>
      <w:pPr>
        <w:pStyle w:val="Ttulo2"/>
      </w:pPr>
      <w:r>
        <w:t>12 2 Autoría e integridad</w:t>
      </w:r>
    </w:p>
    <w:p>
      <w:r>
        <w:t>La autoría de los cambios generados, tests, revisión y documentos es Codex. Marco comunicó el permiso docente y que el original fue hecho manualmente; eso no adjudica líneas originales a cada integrante. Los commits finales agrupan el trabajo local acumulado de forma revisable y no reconstruyen una cronología de commits estudiantiles o sprints.</w:t>
      </w:r>
    </w:p>
    <w:p>
      <w:r>
        <w:t>Secretos, google-services original, env privados, exports, respaldos, dependencias, lib/build y capturas privadas quedan fuera. Sólo APK demo se entrega como binario necesario, con hash y destino explícitos; no se publica el APK original configurado para Firebase real. La revisión independiente del equipo sigue pendiente.</w:t>
      </w:r>
    </w:p>
    <w:p>
      <w:r>
        <w:br w:type="page"/>
      </w:r>
    </w:p>
    <w:p>
      <w:pPr>
        <w:pStyle w:val="Ttulo1"/>
      </w:pPr>
      <w:r>
        <w:t>13 Referencias y anexos</w:t>
      </w:r>
    </w:p>
    <w:p>
      <w:pPr>
        <w:pStyle w:val="Ttulo2"/>
      </w:pPr>
      <w:r>
        <w:t>13 1 Fuentes auténticas y derivadas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2880"/>
          </w:tcPr>
          <w:p>
            <w:pPr>
              <w:spacing w:after="60" w:before="60"/>
            </w:pPr>
            <w:r>
              <w:rPr>
                <w:b/>
                <w:sz w:val="20"/>
              </w:rPr>
              <w:t>Fuente</w:t>
            </w:r>
          </w:p>
        </w:tc>
        <w:tc>
          <w:tcPr>
            <w:tcW w:type="dxa" w:w="6480"/>
          </w:tcPr>
          <w:p>
            <w:pPr>
              <w:spacing w:after="60" w:before="60"/>
            </w:pPr>
            <w:r>
              <w:rPr>
                <w:b/>
                <w:sz w:val="20"/>
              </w:rPr>
              <w:t>Localizador y uso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P1–P6 oficiales</w:t>
            </w:r>
          </w:p>
        </w:tc>
        <w:tc>
          <w:tcPr>
            <w:tcW w:type="dxa" w:w="6480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SOURCE_INDEX: uso IA, enunciado, rúbrica, plantilla P4, pares y sílabo; copias originales privadas preservadas.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Informe humano I2</w:t>
            </w:r>
          </w:p>
        </w:tc>
        <w:tc>
          <w:tcPr>
            <w:tcW w:type="dxa" w:w="6480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Google Doc 1szkfADu3mH3yxLkgX2QIB7BGjMtAwBm4, export 07/10/2026; visión/ODS, no logros de plantilla.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H1 y backlog vigente</w:t>
            </w:r>
          </w:p>
        </w:tc>
        <w:tc>
          <w:tcPr>
            <w:tcW w:type="dxa" w:w="6480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Google Sheet 1ZPy_KY9p2CkyQn_44FUVzm20EdgURywA; comparación exacta HU 3.27/3.28.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Original REC-002</w:t>
            </w:r>
          </w:p>
        </w:tc>
        <w:tc>
          <w:tcPr>
            <w:tcW w:type="dxa" w:w="6480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ZIP contrastado de Inkr8; Gradle/Functions/R8 auténticos; reglas/credenciales externas no recuperadas.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Decisiones humanas</w:t>
            </w:r>
          </w:p>
        </w:tc>
        <w:tc>
          <w:tcPr>
            <w:tcW w:type="dxa" w:w="6480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docs/DECISIONS.md: prompts de Marco y respuestas; sin fecha de aprobación grupal inventada.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Evidencia ejecutada</w:t>
            </w:r>
          </w:p>
        </w:tc>
        <w:tc>
          <w:tcPr>
            <w:tcW w:type="dxa" w:w="6480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delivery/evidence y registros privados originales CORE/RET/SEA/FIN; hashes y manifiesto.</w:t>
            </w:r>
          </w:p>
        </w:tc>
      </w:tr>
    </w:tbl>
    <w:p>
      <w:pPr>
        <w:pStyle w:val="Ttulo2"/>
      </w:pPr>
      <w:r>
        <w:t>13 2 Anexos reproducibles y límites de entrega</w:t>
      </w:r>
    </w:p>
    <w:p>
      <w:r>
        <w:t>Incluye fuentes/versiones y lockfile, testing-blocks, UML editable e imágenes, informe DOCX/PDF, APK demo/AndroidTest, reglas propuestas, manifiesto SHA y comandos en delivery/README.md. El ZIP final excluye insumos privados y dependencias generadas; requiere Node20/JDK17/SDK/API36 y dependencias del lockfile. El paquete acredita cierre local verificable, no operación externa o cumplimiento académico individual.</w:t>
      </w:r>
    </w:p>
    <w:p>
      <w:pPr>
        <w:pStyle w:val="Ttulo2"/>
      </w:pPr>
      <w:r>
        <w:t>13 3 Aportes indispensables restantes</w:t>
      </w:r>
    </w:p>
    <w:p>
      <w:r>
        <w:t>Se requieren: configuración/credencial R8 de prueba autorizada en archivo local seguro y reglas originales si existen; validación cloud sólo cuando el equipo autorice ese entorno, sin desplegar ahora. Para entrega académica: actas/métricas R1/R2, dos fichas de pares por integrante (P5), pruebas/reflexiones/declaración IA reales y sustentación sin IA. No son tareas de copiar transformaciones del agente.</w:t>
      </w:r>
    </w:p>
    <w:sectPr w:rsidR="00D924C3" w:rsidRPr="00EF5B0E" w:rsidSect="00034616"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13137" w14:textId="77777777" w:rsidR="00B94F41" w:rsidRPr="004933EB" w:rsidRDefault="00B94F41" w:rsidP="007A7BCC">
      <w:pPr>
        <w:spacing w:after="0" w:line="240" w:lineRule="auto"/>
      </w:pPr>
      <w:r w:rsidRPr="004933EB">
        <w:separator/>
      </w:r>
    </w:p>
  </w:endnote>
  <w:endnote w:type="continuationSeparator" w:id="0">
    <w:p w14:paraId="3846496A" w14:textId="77777777" w:rsidR="00B94F41" w:rsidRPr="004933EB" w:rsidRDefault="00B94F41" w:rsidP="007A7BCC">
      <w:pPr>
        <w:spacing w:after="0" w:line="240" w:lineRule="auto"/>
      </w:pPr>
      <w:r w:rsidRPr="004933E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FCDDA" w14:textId="77777777" w:rsidR="008B6508" w:rsidRPr="008B6508" w:rsidRDefault="008B6508">
    <w:pPr>
      <w:pStyle w:val="Piedepgina"/>
      <w:jc w:val="right"/>
      <w:rPr>
        <w:sz w:val="22"/>
        <w:szCs w:val="20"/>
      </w:rPr>
    </w:pPr>
    <w:r w:rsidRPr="008B6508">
      <w:rPr>
        <w:sz w:val="18"/>
        <w:szCs w:val="18"/>
        <w:lang w:val="es-ES"/>
      </w:rPr>
      <w:t xml:space="preserve">pág. </w:t>
    </w:r>
    <w:r w:rsidRPr="008B6508">
      <w:rPr>
        <w:sz w:val="18"/>
        <w:szCs w:val="18"/>
      </w:rPr>
      <w:fldChar w:fldCharType="begin"/>
    </w:r>
    <w:r w:rsidRPr="008B6508">
      <w:rPr>
        <w:sz w:val="18"/>
        <w:szCs w:val="18"/>
      </w:rPr>
      <w:instrText>PAGE  \* Arabic</w:instrText>
    </w:r>
    <w:r w:rsidRPr="008B6508">
      <w:rPr>
        <w:sz w:val="18"/>
        <w:szCs w:val="18"/>
      </w:rPr>
      <w:fldChar w:fldCharType="separate"/>
    </w:r>
    <w:r w:rsidRPr="008B6508">
      <w:rPr>
        <w:sz w:val="18"/>
        <w:szCs w:val="18"/>
        <w:lang w:val="es-ES"/>
      </w:rPr>
      <w:t>1</w:t>
    </w:r>
    <w:r w:rsidRPr="008B6508">
      <w:rPr>
        <w:sz w:val="18"/>
        <w:szCs w:val="18"/>
      </w:rPr>
      <w:fldChar w:fldCharType="end"/>
    </w:r>
  </w:p>
  <w:p w14:paraId="7D307D03" w14:textId="77777777" w:rsidR="008B6508" w:rsidRDefault="008B650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07BDA" w14:textId="77777777" w:rsidR="00B94F41" w:rsidRPr="004933EB" w:rsidRDefault="00B94F41" w:rsidP="007A7BCC">
      <w:pPr>
        <w:spacing w:after="0" w:line="240" w:lineRule="auto"/>
      </w:pPr>
      <w:r w:rsidRPr="004933EB">
        <w:separator/>
      </w:r>
    </w:p>
  </w:footnote>
  <w:footnote w:type="continuationSeparator" w:id="0">
    <w:p w14:paraId="6648503C" w14:textId="77777777" w:rsidR="00B94F41" w:rsidRPr="004933EB" w:rsidRDefault="00B94F41" w:rsidP="007A7BCC">
      <w:pPr>
        <w:spacing w:after="0" w:line="240" w:lineRule="auto"/>
      </w:pPr>
      <w:r w:rsidRPr="004933E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F6D1F"/>
    <w:multiLevelType w:val="multilevel"/>
    <w:tmpl w:val="0708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C34BD"/>
    <w:multiLevelType w:val="hybridMultilevel"/>
    <w:tmpl w:val="0358995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BA61977"/>
    <w:multiLevelType w:val="hybridMultilevel"/>
    <w:tmpl w:val="43ACB396"/>
    <w:lvl w:ilvl="0" w:tplc="554E0F64">
      <w:numFmt w:val="bullet"/>
      <w:lvlText w:val="•"/>
      <w:lvlJc w:val="left"/>
      <w:pPr>
        <w:ind w:left="720" w:hanging="360"/>
      </w:pPr>
      <w:rPr>
        <w:rFonts w:ascii="Segoe UI" w:hAnsi="Segoe UI" w:hint="default"/>
        <w:b/>
        <w:bCs/>
        <w:i w:val="0"/>
        <w:iCs w:val="0"/>
        <w:color w:val="000000" w:themeColor="text1"/>
        <w:spacing w:val="0"/>
        <w:w w:val="100"/>
        <w:sz w:val="28"/>
        <w:szCs w:val="28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7876E3"/>
    <w:multiLevelType w:val="hybridMultilevel"/>
    <w:tmpl w:val="4A20017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5297524"/>
    <w:multiLevelType w:val="multilevel"/>
    <w:tmpl w:val="630ADF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B496F12"/>
    <w:multiLevelType w:val="hybridMultilevel"/>
    <w:tmpl w:val="C794F70E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BBA64C0"/>
    <w:multiLevelType w:val="multilevel"/>
    <w:tmpl w:val="CD4ECF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F1A5E45"/>
    <w:multiLevelType w:val="hybridMultilevel"/>
    <w:tmpl w:val="A12EFF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B46695"/>
    <w:multiLevelType w:val="multilevel"/>
    <w:tmpl w:val="52B0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24103"/>
    <w:multiLevelType w:val="multilevel"/>
    <w:tmpl w:val="A3C4394A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19" w15:restartNumberingAfterBreak="0">
    <w:nsid w:val="36F1026B"/>
    <w:multiLevelType w:val="multilevel"/>
    <w:tmpl w:val="07C2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C71BC7"/>
    <w:multiLevelType w:val="multilevel"/>
    <w:tmpl w:val="A8986F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E88703C"/>
    <w:multiLevelType w:val="multilevel"/>
    <w:tmpl w:val="047420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ED7F04"/>
    <w:multiLevelType w:val="hybridMultilevel"/>
    <w:tmpl w:val="7CF08A82"/>
    <w:lvl w:ilvl="0" w:tplc="381863DC">
      <w:numFmt w:val="bullet"/>
      <w:lvlText w:val="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3" w15:restartNumberingAfterBreak="0">
    <w:nsid w:val="58201523"/>
    <w:multiLevelType w:val="multilevel"/>
    <w:tmpl w:val="2CF65F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223CDD"/>
    <w:multiLevelType w:val="hybridMultilevel"/>
    <w:tmpl w:val="2FD44D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010D88"/>
    <w:multiLevelType w:val="multilevel"/>
    <w:tmpl w:val="A0DC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6938EB"/>
    <w:multiLevelType w:val="hybridMultilevel"/>
    <w:tmpl w:val="7BBC376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2FA5E25"/>
    <w:multiLevelType w:val="hybridMultilevel"/>
    <w:tmpl w:val="E63E62A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0973B4"/>
    <w:multiLevelType w:val="multilevel"/>
    <w:tmpl w:val="30442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16438E"/>
    <w:multiLevelType w:val="hybridMultilevel"/>
    <w:tmpl w:val="D1B490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1131F3"/>
    <w:multiLevelType w:val="multilevel"/>
    <w:tmpl w:val="F288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D716B5"/>
    <w:multiLevelType w:val="multilevel"/>
    <w:tmpl w:val="240E932C"/>
    <w:lvl w:ilvl="0">
      <w:start w:val="1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108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32" w15:restartNumberingAfterBreak="0">
    <w:nsid w:val="7E6A04F8"/>
    <w:multiLevelType w:val="multilevel"/>
    <w:tmpl w:val="9F48148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2126196790">
    <w:abstractNumId w:val="8"/>
  </w:num>
  <w:num w:numId="2" w16cid:durableId="1609191195">
    <w:abstractNumId w:val="6"/>
  </w:num>
  <w:num w:numId="3" w16cid:durableId="1540166653">
    <w:abstractNumId w:val="5"/>
  </w:num>
  <w:num w:numId="4" w16cid:durableId="618880507">
    <w:abstractNumId w:val="4"/>
  </w:num>
  <w:num w:numId="5" w16cid:durableId="273905324">
    <w:abstractNumId w:val="7"/>
  </w:num>
  <w:num w:numId="6" w16cid:durableId="1037393225">
    <w:abstractNumId w:val="3"/>
  </w:num>
  <w:num w:numId="7" w16cid:durableId="1735228906">
    <w:abstractNumId w:val="2"/>
  </w:num>
  <w:num w:numId="8" w16cid:durableId="831069331">
    <w:abstractNumId w:val="1"/>
  </w:num>
  <w:num w:numId="9" w16cid:durableId="632366433">
    <w:abstractNumId w:val="0"/>
  </w:num>
  <w:num w:numId="10" w16cid:durableId="1398551001">
    <w:abstractNumId w:val="17"/>
  </w:num>
  <w:num w:numId="11" w16cid:durableId="1740131808">
    <w:abstractNumId w:val="9"/>
  </w:num>
  <w:num w:numId="12" w16cid:durableId="333068176">
    <w:abstractNumId w:val="32"/>
  </w:num>
  <w:num w:numId="13" w16cid:durableId="1799840170">
    <w:abstractNumId w:val="28"/>
  </w:num>
  <w:num w:numId="14" w16cid:durableId="528571278">
    <w:abstractNumId w:val="30"/>
  </w:num>
  <w:num w:numId="15" w16cid:durableId="1987278058">
    <w:abstractNumId w:val="19"/>
  </w:num>
  <w:num w:numId="16" w16cid:durableId="1878353683">
    <w:abstractNumId w:val="25"/>
  </w:num>
  <w:num w:numId="17" w16cid:durableId="62069047">
    <w:abstractNumId w:val="16"/>
  </w:num>
  <w:num w:numId="18" w16cid:durableId="738404786">
    <w:abstractNumId w:val="23"/>
  </w:num>
  <w:num w:numId="19" w16cid:durableId="389839792">
    <w:abstractNumId w:val="21"/>
  </w:num>
  <w:num w:numId="20" w16cid:durableId="207034048">
    <w:abstractNumId w:val="12"/>
  </w:num>
  <w:num w:numId="21" w16cid:durableId="475755501">
    <w:abstractNumId w:val="26"/>
  </w:num>
  <w:num w:numId="22" w16cid:durableId="1054962221">
    <w:abstractNumId w:val="29"/>
  </w:num>
  <w:num w:numId="23" w16cid:durableId="1754233487">
    <w:abstractNumId w:val="10"/>
  </w:num>
  <w:num w:numId="24" w16cid:durableId="1928885681">
    <w:abstractNumId w:val="14"/>
  </w:num>
  <w:num w:numId="25" w16cid:durableId="269629099">
    <w:abstractNumId w:val="20"/>
  </w:num>
  <w:num w:numId="26" w16cid:durableId="784735732">
    <w:abstractNumId w:val="13"/>
  </w:num>
  <w:num w:numId="27" w16cid:durableId="205264716">
    <w:abstractNumId w:val="15"/>
  </w:num>
  <w:num w:numId="28" w16cid:durableId="1226454087">
    <w:abstractNumId w:val="18"/>
  </w:num>
  <w:num w:numId="29" w16cid:durableId="215549056">
    <w:abstractNumId w:val="31"/>
  </w:num>
  <w:num w:numId="30" w16cid:durableId="1862236920">
    <w:abstractNumId w:val="24"/>
  </w:num>
  <w:num w:numId="31" w16cid:durableId="1813710538">
    <w:abstractNumId w:val="22"/>
  </w:num>
  <w:num w:numId="32" w16cid:durableId="168371655">
    <w:abstractNumId w:val="11"/>
  </w:num>
  <w:num w:numId="33" w16cid:durableId="5512957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5604"/>
    <w:rsid w:val="00034616"/>
    <w:rsid w:val="00041822"/>
    <w:rsid w:val="0006063C"/>
    <w:rsid w:val="00072486"/>
    <w:rsid w:val="000B00D1"/>
    <w:rsid w:val="000B1DE4"/>
    <w:rsid w:val="000B779C"/>
    <w:rsid w:val="000D321E"/>
    <w:rsid w:val="000F3FE2"/>
    <w:rsid w:val="000F67E7"/>
    <w:rsid w:val="000F704F"/>
    <w:rsid w:val="001100FB"/>
    <w:rsid w:val="0011514B"/>
    <w:rsid w:val="00115157"/>
    <w:rsid w:val="00122D14"/>
    <w:rsid w:val="001344B6"/>
    <w:rsid w:val="00142851"/>
    <w:rsid w:val="0015074B"/>
    <w:rsid w:val="00164FCF"/>
    <w:rsid w:val="0019748E"/>
    <w:rsid w:val="001B2B6C"/>
    <w:rsid w:val="001C3C91"/>
    <w:rsid w:val="001F2805"/>
    <w:rsid w:val="002072B2"/>
    <w:rsid w:val="002230AD"/>
    <w:rsid w:val="002336CC"/>
    <w:rsid w:val="00271BA4"/>
    <w:rsid w:val="00281108"/>
    <w:rsid w:val="0029639D"/>
    <w:rsid w:val="002B1C28"/>
    <w:rsid w:val="002B5C48"/>
    <w:rsid w:val="002B7F3C"/>
    <w:rsid w:val="00301D1F"/>
    <w:rsid w:val="00307515"/>
    <w:rsid w:val="00326F90"/>
    <w:rsid w:val="003437AA"/>
    <w:rsid w:val="00346D0E"/>
    <w:rsid w:val="00353999"/>
    <w:rsid w:val="00360096"/>
    <w:rsid w:val="00383199"/>
    <w:rsid w:val="00383D12"/>
    <w:rsid w:val="00394E5F"/>
    <w:rsid w:val="003B69C6"/>
    <w:rsid w:val="0040296B"/>
    <w:rsid w:val="0041429E"/>
    <w:rsid w:val="00441912"/>
    <w:rsid w:val="00453440"/>
    <w:rsid w:val="004933EB"/>
    <w:rsid w:val="00497F4A"/>
    <w:rsid w:val="004A23B6"/>
    <w:rsid w:val="004C1346"/>
    <w:rsid w:val="004C62C2"/>
    <w:rsid w:val="004D2337"/>
    <w:rsid w:val="004D6406"/>
    <w:rsid w:val="004E4B0A"/>
    <w:rsid w:val="00524CE5"/>
    <w:rsid w:val="005B1360"/>
    <w:rsid w:val="005B7359"/>
    <w:rsid w:val="005C06EC"/>
    <w:rsid w:val="005C4EA2"/>
    <w:rsid w:val="005D2E46"/>
    <w:rsid w:val="0060794B"/>
    <w:rsid w:val="006512F2"/>
    <w:rsid w:val="006661C8"/>
    <w:rsid w:val="00680D3C"/>
    <w:rsid w:val="006865C6"/>
    <w:rsid w:val="00687213"/>
    <w:rsid w:val="006C50ED"/>
    <w:rsid w:val="006D312B"/>
    <w:rsid w:val="006F7ADD"/>
    <w:rsid w:val="00753BAA"/>
    <w:rsid w:val="0076265F"/>
    <w:rsid w:val="007A7BCC"/>
    <w:rsid w:val="007F0275"/>
    <w:rsid w:val="007F5924"/>
    <w:rsid w:val="008378FC"/>
    <w:rsid w:val="008614E8"/>
    <w:rsid w:val="00861809"/>
    <w:rsid w:val="00863BBB"/>
    <w:rsid w:val="00864AC7"/>
    <w:rsid w:val="008905B6"/>
    <w:rsid w:val="00891AC4"/>
    <w:rsid w:val="00897906"/>
    <w:rsid w:val="008B0B38"/>
    <w:rsid w:val="008B5B33"/>
    <w:rsid w:val="008B6508"/>
    <w:rsid w:val="008D2BE0"/>
    <w:rsid w:val="008E7B15"/>
    <w:rsid w:val="00902EAF"/>
    <w:rsid w:val="009231EB"/>
    <w:rsid w:val="009325E0"/>
    <w:rsid w:val="009B07B4"/>
    <w:rsid w:val="009D219C"/>
    <w:rsid w:val="009F2371"/>
    <w:rsid w:val="00A11951"/>
    <w:rsid w:val="00A236FC"/>
    <w:rsid w:val="00A547B4"/>
    <w:rsid w:val="00A635BB"/>
    <w:rsid w:val="00A73476"/>
    <w:rsid w:val="00A76DC5"/>
    <w:rsid w:val="00AA1D8D"/>
    <w:rsid w:val="00AA4BE9"/>
    <w:rsid w:val="00AC6554"/>
    <w:rsid w:val="00B00DEC"/>
    <w:rsid w:val="00B07219"/>
    <w:rsid w:val="00B0776E"/>
    <w:rsid w:val="00B103CE"/>
    <w:rsid w:val="00B31DF6"/>
    <w:rsid w:val="00B34D15"/>
    <w:rsid w:val="00B371BC"/>
    <w:rsid w:val="00B42E00"/>
    <w:rsid w:val="00B47730"/>
    <w:rsid w:val="00B47A5C"/>
    <w:rsid w:val="00B47C47"/>
    <w:rsid w:val="00B54689"/>
    <w:rsid w:val="00B60D22"/>
    <w:rsid w:val="00B94F41"/>
    <w:rsid w:val="00BA3B83"/>
    <w:rsid w:val="00BA6BC1"/>
    <w:rsid w:val="00BB24F7"/>
    <w:rsid w:val="00BC7B06"/>
    <w:rsid w:val="00BE088B"/>
    <w:rsid w:val="00BE25F8"/>
    <w:rsid w:val="00BE770B"/>
    <w:rsid w:val="00BE7CE8"/>
    <w:rsid w:val="00BF0638"/>
    <w:rsid w:val="00C12A2D"/>
    <w:rsid w:val="00C14C4D"/>
    <w:rsid w:val="00C155A9"/>
    <w:rsid w:val="00C479EB"/>
    <w:rsid w:val="00C66593"/>
    <w:rsid w:val="00C839BC"/>
    <w:rsid w:val="00C97662"/>
    <w:rsid w:val="00CA74D2"/>
    <w:rsid w:val="00CB0664"/>
    <w:rsid w:val="00CC51CF"/>
    <w:rsid w:val="00CC7DD5"/>
    <w:rsid w:val="00D200BB"/>
    <w:rsid w:val="00D23156"/>
    <w:rsid w:val="00D34205"/>
    <w:rsid w:val="00D54742"/>
    <w:rsid w:val="00D924C3"/>
    <w:rsid w:val="00D94CAA"/>
    <w:rsid w:val="00DA4979"/>
    <w:rsid w:val="00DC1CF5"/>
    <w:rsid w:val="00DE3910"/>
    <w:rsid w:val="00DE4FB9"/>
    <w:rsid w:val="00E03FE2"/>
    <w:rsid w:val="00E0594C"/>
    <w:rsid w:val="00E1552E"/>
    <w:rsid w:val="00E23880"/>
    <w:rsid w:val="00E451AC"/>
    <w:rsid w:val="00E65A7B"/>
    <w:rsid w:val="00E719F8"/>
    <w:rsid w:val="00ED4978"/>
    <w:rsid w:val="00EE56D1"/>
    <w:rsid w:val="00EF5B0E"/>
    <w:rsid w:val="00F07471"/>
    <w:rsid w:val="00F118D9"/>
    <w:rsid w:val="00F240C9"/>
    <w:rsid w:val="00F4556E"/>
    <w:rsid w:val="00F72C4E"/>
    <w:rsid w:val="00F8431E"/>
    <w:rsid w:val="00F85DB3"/>
    <w:rsid w:val="00FA59D0"/>
    <w:rsid w:val="00FB45B0"/>
    <w:rsid w:val="00FB6D74"/>
    <w:rsid w:val="00FC693F"/>
    <w:rsid w:val="00FE2AA2"/>
    <w:rsid w:val="00FF2CBA"/>
    <w:rsid w:val="00FF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F2F6D13"/>
  <w14:defaultImageDpi w14:val="300"/>
  <w15:docId w15:val="{B2FDD86E-6234-4F02-A3F3-BF44C970AD0E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A2"/>
    <w:pPr>
      <w:spacing w:after="120"/>
    </w:pPr>
    <w:rPr>
      <w:rFonts w:ascii="Times New Roman" w:eastAsia="Times New Roman" w:hAnsi="Times New Roman"/>
      <w:sz w:val="24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94CA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94CAA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D94CAA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D94CAA"/>
    <w:pPr>
      <w:spacing w:after="100" w:line="278" w:lineRule="auto"/>
      <w:ind w:left="720"/>
    </w:pPr>
    <w:rPr>
      <w:rFonts w:asciiTheme="minorHAnsi" w:eastAsiaTheme="minorEastAsia" w:hAnsiTheme="minorHAnsi"/>
      <w:kern w:val="2"/>
      <w:szCs w:val="24"/>
      <w:lang w:eastAsia="es-PE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D94CAA"/>
    <w:pPr>
      <w:spacing w:after="100" w:line="278" w:lineRule="auto"/>
      <w:ind w:left="960"/>
    </w:pPr>
    <w:rPr>
      <w:rFonts w:asciiTheme="minorHAnsi" w:eastAsiaTheme="minorEastAsia" w:hAnsiTheme="minorHAnsi"/>
      <w:kern w:val="2"/>
      <w:szCs w:val="24"/>
      <w:lang w:eastAsia="es-PE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D94CAA"/>
    <w:pPr>
      <w:spacing w:after="100" w:line="278" w:lineRule="auto"/>
      <w:ind w:left="1200"/>
    </w:pPr>
    <w:rPr>
      <w:rFonts w:asciiTheme="minorHAnsi" w:eastAsiaTheme="minorEastAsia" w:hAnsiTheme="minorHAnsi"/>
      <w:kern w:val="2"/>
      <w:szCs w:val="24"/>
      <w:lang w:eastAsia="es-PE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D94CAA"/>
    <w:pPr>
      <w:spacing w:after="100" w:line="278" w:lineRule="auto"/>
      <w:ind w:left="1440"/>
    </w:pPr>
    <w:rPr>
      <w:rFonts w:asciiTheme="minorHAnsi" w:eastAsiaTheme="minorEastAsia" w:hAnsiTheme="minorHAnsi"/>
      <w:kern w:val="2"/>
      <w:szCs w:val="24"/>
      <w:lang w:eastAsia="es-PE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D94CAA"/>
    <w:pPr>
      <w:spacing w:after="100" w:line="278" w:lineRule="auto"/>
      <w:ind w:left="1680"/>
    </w:pPr>
    <w:rPr>
      <w:rFonts w:asciiTheme="minorHAnsi" w:eastAsiaTheme="minorEastAsia" w:hAnsiTheme="minorHAnsi"/>
      <w:kern w:val="2"/>
      <w:szCs w:val="24"/>
      <w:lang w:eastAsia="es-PE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D94CAA"/>
    <w:pPr>
      <w:spacing w:after="100" w:line="278" w:lineRule="auto"/>
      <w:ind w:left="1920"/>
    </w:pPr>
    <w:rPr>
      <w:rFonts w:asciiTheme="minorHAnsi" w:eastAsiaTheme="minorEastAsia" w:hAnsiTheme="minorHAnsi"/>
      <w:kern w:val="2"/>
      <w:szCs w:val="24"/>
      <w:lang w:eastAsia="es-PE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D94CAA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94CA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53999"/>
    <w:rPr>
      <w:rFonts w:cs="Times New Roman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A76D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thena.ecs.csus.edu/~buckley/CSc233/Backlog_Grooming.pdf" TargetMode="External"/><Relationship Id="rId5" Type="http://schemas.openxmlformats.org/officeDocument/2006/relationships/webSettings" Target="webSettings.xml"/><Relationship Id="rId28" Type="http://schemas.openxmlformats.org/officeDocument/2006/relationships/fontTable" Target="fontTable.xml"/><Relationship Id="rId10" Type="http://schemas.openxmlformats.org/officeDocument/2006/relationships/hyperlink" Target="https://s3.amazonaws.com/kajabi-storefronts-production/sites/2147573393/themes/2150421211/downloads/L5UGZltTJuxHBGAUjfoq_ScrumKickoff-1_0_1_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gilevelocity.com/blog/agile-interviews-effective-questions/" TargetMode="External"/><Relationship Id="rId27" Type="http://schemas.openxmlformats.org/officeDocument/2006/relationships/footer" Target="footer1.xml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5CA905-422E-4696-A951-E021FEC97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77</Pages>
  <Words>15471</Words>
  <Characters>85094</Characters>
  <Application>Microsoft Office Word</Application>
  <DocSecurity>0</DocSecurity>
  <Lines>709</Lines>
  <Paragraphs>200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Inkr8 cierre técnico y entrega para revisión</dc:title>
  <dc:subject>Informe derivado P4 con evidencia local y límites externos y académicos</dc:subject>
  <dc:creator>Codex</dc:creator>
  <cp:keywords/>
  <dc:description>Autoría Codex bajo DEC-AI-AUTH-001; original y aportes humanos citados, no revisión humana inventada.</dc:description>
  <cp:lastModifiedBy>Codex</cp:lastModifiedBy>
  <cp:revision>5</cp:revision>
  <cp:lastPrinted>2026-08-30T15:38:00Z</cp:lastPrinted>
  <dcterms:created xsi:type="dcterms:W3CDTF">2026-08-30T15:34:00Z</dcterms:created>
  <dcterms:modified xsi:type="dcterms:W3CDTF">2026-08-30T15:38:00Z</dcterms:modified>
  <cp:category/>
</cp:coreProperties>
</file>