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2422313D" w:rsidR="009851A8" w:rsidRDefault="00997C0F">
      <w:r>
        <w:t xml:space="preserve">DATE:  </w:t>
      </w:r>
      <w:r w:rsidR="009D4E3C">
        <w:t xml:space="preserve">April </w:t>
      </w:r>
      <w:r w:rsidR="00B07974">
        <w:t>10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4EC7BA24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5EA3A7DD" w:rsidR="00997C0F" w:rsidRDefault="00997C0F">
      <w:r>
        <w:t xml:space="preserve">CHECK-IN/HASH (from bitbucket.org) </w:t>
      </w:r>
      <w:r w:rsidR="00870D92">
        <w:t>068a5ddae6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3AAEDE7A" w:rsidR="00997C0F" w:rsidRDefault="00B07974" w:rsidP="00997C0F">
            <w:r>
              <w:t>315</w:t>
            </w:r>
          </w:p>
        </w:tc>
        <w:tc>
          <w:tcPr>
            <w:tcW w:w="4536" w:type="dxa"/>
          </w:tcPr>
          <w:p w14:paraId="5F4D6ADA" w14:textId="7F31D8B4" w:rsidR="00997C0F" w:rsidRDefault="00B07974" w:rsidP="00997C0F">
            <w:r>
              <w:t>Timestamp precision</w:t>
            </w:r>
          </w:p>
        </w:tc>
        <w:tc>
          <w:tcPr>
            <w:tcW w:w="4110" w:type="dxa"/>
          </w:tcPr>
          <w:p w14:paraId="38090A68" w14:textId="1E3CFF1A" w:rsidR="00997C0F" w:rsidRDefault="00B07974" w:rsidP="00B07974">
            <w:r>
              <w:t>Timestamp precision retorted in RDP</w:t>
            </w:r>
          </w:p>
        </w:tc>
      </w:tr>
    </w:tbl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039F6C46" w:rsidR="003142F7" w:rsidRDefault="00BA6B5D" w:rsidP="00164B6A">
      <w:r>
        <w:t xml:space="preserve">The master </w:t>
      </w:r>
      <w:r w:rsidR="00B07974">
        <w:t xml:space="preserve">now has the </w:t>
      </w:r>
      <w:r>
        <w:t>master_SE0.4 branch</w:t>
      </w:r>
      <w:r w:rsidR="00B07974">
        <w:t xml:space="preserve"> merged into it</w:t>
      </w:r>
      <w:r w:rsidR="00C04508">
        <w:t>.</w:t>
      </w:r>
    </w:p>
    <w:p w14:paraId="7AE6CEFB" w14:textId="0310877F" w:rsidR="00C04508" w:rsidRDefault="00C04508" w:rsidP="00164B6A">
      <w:r>
        <w:t>SE connector now no longer converts the table name, column name etc to uppercase.</w:t>
      </w:r>
    </w:p>
    <w:p w14:paraId="7FB71144" w14:textId="588CD577" w:rsidR="00C04508" w:rsidRDefault="00C04508" w:rsidP="00164B6A">
      <w:r>
        <w:t>It retains the case as given by RDP.</w:t>
      </w:r>
    </w:p>
    <w:p w14:paraId="2DE62580" w14:textId="77777777" w:rsidR="00C04508" w:rsidRDefault="00C04508" w:rsidP="00164B6A"/>
    <w:p w14:paraId="71396F39" w14:textId="68988ABD" w:rsidR="00C04508" w:rsidRDefault="00C04508" w:rsidP="00164B6A">
      <w:r>
        <w:t>Though note that SE preserves the case but is case insensitive.</w:t>
      </w:r>
    </w:p>
    <w:p w14:paraId="68303525" w14:textId="38EC29CF" w:rsidR="00C04508" w:rsidRPr="00164B6A" w:rsidRDefault="00C04508" w:rsidP="00164B6A">
      <w:r>
        <w:t xml:space="preserve">This means that if a table “NewTab” is created in SE. Then you cannot create a table with name </w:t>
      </w:r>
      <w:r w:rsidR="00253BD7">
        <w:t>“</w:t>
      </w:r>
      <w:r>
        <w:t>NEWTAB</w:t>
      </w:r>
      <w:r w:rsidR="00253BD7">
        <w:t>”</w:t>
      </w:r>
      <w:bookmarkStart w:id="0" w:name="_GoBack"/>
      <w:bookmarkEnd w:id="0"/>
      <w:r>
        <w:t>. It will report back saying that table exists.</w:t>
      </w:r>
    </w:p>
    <w:sectPr w:rsidR="00C04508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3BD7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33B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0D92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974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508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104</Words>
  <Characters>595</Characters>
  <Application>Microsoft Macintosh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30</cp:revision>
  <cp:lastPrinted>2018-01-05T12:51:00Z</cp:lastPrinted>
  <dcterms:created xsi:type="dcterms:W3CDTF">2017-12-21T11:46:00Z</dcterms:created>
  <dcterms:modified xsi:type="dcterms:W3CDTF">2018-04-10T08:25:00Z</dcterms:modified>
</cp:coreProperties>
</file>