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№8:</w:t>
      </w:r>
      <w:r>
        <w:t xml:space="preserve"> </w:t>
      </w: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Родина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Основной целью лабораторной работы можно считать построение математической модели конкуренции двух фирм.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Можно выделить две основные задачи данной лабораторной работы:</w:t>
      </w:r>
      <w:r>
        <w:br/>
      </w:r>
      <w:r>
        <w:t xml:space="preserve">1. изучить теоретическую часть модели конкуренции двух фирм;</w:t>
      </w:r>
      <w:r>
        <w:br/>
      </w:r>
      <w:r>
        <w:t xml:space="preserve">2. реализовать частные случаи модели из моего варианта на одном из представленных языков программирования.</w:t>
      </w:r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модель, описывающая конкуренцию двух фирм, а предметом исследования - частные случаи, представленные в моем варианте лабораторной работы.</w:t>
      </w:r>
    </w:p>
    <w:bookmarkEnd w:id="22"/>
    <w:bookmarkEnd w:id="23"/>
    <w:bookmarkStart w:id="25" w:name="модель-конуренции-двух-фирм"/>
    <w:p>
      <w:pPr>
        <w:pStyle w:val="Heading1"/>
      </w:pPr>
      <w:r>
        <w:t xml:space="preserve">Модель конуренции двух фирм</w:t>
      </w:r>
    </w:p>
    <w:bookmarkStart w:id="24" w:name="модель-одной-фирмы"/>
    <w:p>
      <w:pPr>
        <w:pStyle w:val="Heading2"/>
      </w:pPr>
      <w:r>
        <w:t xml:space="preserve">Модель одной фирмы</w:t>
      </w:r>
    </w:p>
    <w:p>
      <w:pPr>
        <w:pStyle w:val="FirstParagraph"/>
      </w:pPr>
      <w:r>
        <w:t xml:space="preserve">Модель фирмы, производящией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 Обозначим:</w:t>
      </w:r>
      <w:r>
        <w:br/>
      </w: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продукта;</w:t>
      </w:r>
      <w:r>
        <w:br/>
      </w:r>
      <m:oMath>
        <m:r>
          <m:t>S</m:t>
        </m:r>
      </m:oMath>
      <w:r>
        <w:t xml:space="preserve"> </w:t>
      </w:r>
      <w:r>
        <w:t xml:space="preserve">- доходы потребителей данного продукта (считаем, что доходлы всех потребителей одинаковы);</w:t>
      </w:r>
      <w:r>
        <w:br/>
      </w:r>
      <m:oMath>
        <m:r>
          <m:t>M</m:t>
        </m:r>
      </m:oMath>
      <w:r>
        <w:t xml:space="preserve"> - оборотные средства предприятия;</w:t>
      </w:r>
      <w:r>
        <w:br/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цикла;</w:t>
      </w:r>
      <w:r>
        <w:br/>
      </w:r>
      <m:oMath>
        <m:r>
          <m:t>p</m:t>
        </m:r>
      </m:oMath>
      <w:r>
        <w:t xml:space="preserve"> </w:t>
      </w:r>
      <w:r>
        <w:t xml:space="preserve">- рыночная цена товара;</w:t>
      </w:r>
      <w:r>
        <w:br/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продукта;</w:t>
      </w:r>
      <w:r>
        <w:br/>
      </w: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издержек;</w:t>
      </w:r>
      <w:r>
        <w:br/>
      </w: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продукции.</w:t>
      </w:r>
      <w:r>
        <w:br/>
      </w:r>
      <w:r>
        <w:t xml:space="preserve">Функцию спроса товаров долговременного испрользования частро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- максимальная потребность одного человека в продукте в еденицу времени,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- критическая стоимость продукта. Эта функция падает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средств можно записать в виде</w:t>
      </w:r>
    </w:p>
    <w:p>
      <w:pPr>
        <w:pStyle w:val="BodyText"/>
      </w:pPr>
    </w:p>
    <w:p>
      <w:pPr>
        <w:pStyle w:val="BodyText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</w:t>
      </w:r>
    </w:p>
    <w:p>
      <w:pPr>
        <w:pStyle w:val="BodyText"/>
      </w:pPr>
    </w:p>
    <w:p>
      <w:pPr>
        <w:pStyle w:val="BodyText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  <w:r>
        <w:t xml:space="preserve"> </w:t>
      </w: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</w:p>
    <w:p>
      <w:pPr>
        <w:pStyle w:val="BodyText"/>
      </w:pPr>
      <w:r>
        <w:t xml:space="preserve">Из (4) следует, что 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</w:p>
    <w:p>
      <w:pPr>
        <w:pStyle w:val="BodyText"/>
      </w:pPr>
      <w:r>
        <w:t xml:space="preserve">Уравнение (2) с учетом (5) приобретает вид</w:t>
      </w:r>
    </w:p>
    <w:p>
      <w:pPr>
        <w:pStyle w:val="BodyText"/>
      </w:pP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какимлибо иным способом.)</w:t>
      </w:r>
      <w:r>
        <w:t xml:space="preserve"> </w:t>
      </w: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</w:p>
    <w:p>
      <w:pPr>
        <w:pStyle w:val="BodyText"/>
      </w:pPr>
      <w:r>
        <w:t xml:space="preserve">где использованы те же обозначения, а индексы 1 и 2 относятся к первой и второй фирме, соответственно. Величины N1 и N2 – числа потребителей, приобретших товар первой и второй фирмы.</w:t>
      </w:r>
      <w:r>
        <w:t xml:space="preserve"> </w:t>
      </w: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</w:t>
      </w:r>
      <w:r>
        <w:t xml:space="preserve"> </w:t>
      </w:r>
      <w:r>
        <w:t xml:space="preserve">Тогда</w:t>
      </w:r>
    </w:p>
    <w:p>
      <w:pPr>
        <w:pStyle w:val="BodyText"/>
      </w:pPr>
    </w:p>
    <w:p>
      <w:pPr>
        <w:pStyle w:val="BodyText"/>
      </w:pPr>
      <w:r>
        <w:t xml:space="preserve">где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– себестоимости товаров в первой и второй фирме.</w:t>
      </w:r>
      <w:r>
        <w:t xml:space="preserve"> </w:t>
      </w:r>
      <w:r>
        <w:t xml:space="preserve">С учетом (10) представим (11) в виде</w:t>
      </w:r>
    </w:p>
    <w:p>
      <w:pPr>
        <w:pStyle w:val="BodyText"/>
      </w:pPr>
    </w:p>
    <w:p>
      <w:pPr>
        <w:pStyle w:val="BodyText"/>
      </w:pPr>
      <w:r>
        <w:t xml:space="preserve">Уравнение для цены, по аналогии с (3),</w:t>
      </w:r>
    </w:p>
    <w:p>
      <w:pPr>
        <w:pStyle w:val="BodyText"/>
      </w:pPr>
    </w:p>
    <w:p>
      <w:pPr>
        <w:pStyle w:val="BodyText"/>
      </w:pPr>
      <w:r>
        <w:t xml:space="preserve">Считая, как и выше, что ценовое равновесие устанавливается быстро, получим</w:t>
      </w:r>
    </w:p>
    <w:p>
      <w:pPr>
        <w:pStyle w:val="BodyText"/>
      </w:pPr>
    </w:p>
    <w:p>
      <w:pPr>
        <w:pStyle w:val="BodyText"/>
      </w:pPr>
      <w:r>
        <w:t xml:space="preserve">Подставив (14) в (12) имеем:</w:t>
      </w:r>
    </w:p>
    <w:p>
      <w:pPr>
        <w:pStyle w:val="BodyText"/>
      </w:pP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</w:p>
    <w:p>
      <w:pPr>
        <w:pStyle w:val="BodyText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</w:p>
    <w:p>
      <w:pPr>
        <w:pStyle w:val="BodyText"/>
      </w:pPr>
      <w:r>
        <w:t xml:space="preserve">Пусть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bookmarkEnd w:id="24"/>
    <w:bookmarkEnd w:id="25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формулировка-задачи-из-варианта"/>
    <w:p>
      <w:pPr>
        <w:pStyle w:val="Heading2"/>
      </w:pPr>
      <w:r>
        <w:t xml:space="preserve">Формулировка задачи из варианта</w:t>
      </w:r>
    </w:p>
    <w:p>
      <w:pPr>
        <w:pStyle w:val="FirstParagraph"/>
      </w:pPr>
      <w:r>
        <w:t xml:space="preserve">Так как в седьмой лабораторной работе 70 вариантов, то номер моего варианта вычисляется по формуле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m</m:t>
        </m:r>
        <m:r>
          <m:t>o</m:t>
        </m:r>
        <m:r>
          <m:t>d</m:t>
        </m:r>
        <m:r>
          <m:t>70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номер студенческого билета (в моем случае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1032182581</m:t>
        </m:r>
      </m:oMath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1032182581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Соответственно, номер моего варианта - 32.</w:t>
      </w:r>
    </w:p>
    <w:p>
      <w:pPr>
        <w:pStyle w:val="BodyText"/>
      </w:pPr>
      <w:r>
        <w:rPr>
          <w:bCs/>
          <w:b/>
        </w:rPr>
        <w:t xml:space="preserve">Вариант 32</w:t>
      </w:r>
    </w:p>
    <w:p>
      <w:pPr>
        <w:pStyle w:val="BodyText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0.00033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задача рассматривается со следующими начальными условиями и параметрами:</w:t>
      </w:r>
      <w:r>
        <w:br/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</w:t>
      </w:r>
      <w:r>
        <w:br/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  <w:r>
        <w:br/>
      </w:r>
      <m:oMath>
        <m:r>
          <m:t>p</m:t>
        </m:r>
      </m:oMath>
      <w:r>
        <w:t xml:space="preserve"> </w:t>
      </w:r>
      <w:r>
        <w:t xml:space="preserve">– рыночная цена товара</w:t>
      </w:r>
      <w:r>
        <w:br/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</w:t>
      </w:r>
      <w:r>
        <w:br/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  <w:r>
        <w:br/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5.5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3.5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28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r>
          <m:t>8.2</m:t>
        </m:r>
      </m:oMath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</w:p>
    <w:p>
      <w:pPr>
        <w:pStyle w:val="BodyText"/>
      </w:pP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 </w:t>
      </w:r>
      <w:r>
        <w:t xml:space="preserve">- условие нормировки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6"/>
    <w:bookmarkStart w:id="31" w:name="реализация-алгоритмов"/>
    <w:p>
      <w:pPr>
        <w:pStyle w:val="Heading2"/>
      </w:pPr>
      <w:r>
        <w:t xml:space="preserve">Реализация алгоритмов</w:t>
      </w:r>
    </w:p>
    <w:bookmarkStart w:id="27" w:name="подключение-библиотек"/>
    <w:p>
      <w:pPr>
        <w:pStyle w:val="Heading3"/>
      </w:pPr>
      <w:r>
        <w:t xml:space="preserve">Подключение библиотек</w:t>
      </w:r>
    </w:p>
    <w:p>
      <w:pPr>
        <w:pStyle w:val="FirstParagraph"/>
      </w:pPr>
      <w:r>
        <w:t xml:space="preserve">Для того, чтобы использовать многие формулы, а также для построения графиков, необходимо подключить определенные библиотеки, в которых эти формулы описаны: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</w:p>
    <w:bookmarkEnd w:id="27"/>
    <w:bookmarkStart w:id="28" w:name="начальные-значения"/>
    <w:p>
      <w:pPr>
        <w:pStyle w:val="Heading3"/>
      </w:pPr>
      <w:r>
        <w:t xml:space="preserve">Начальные значения</w:t>
      </w:r>
    </w:p>
    <w:p>
      <w:pPr>
        <w:pStyle w:val="FirstParagraph"/>
      </w:pPr>
      <w:r>
        <w:t xml:space="preserve">Начальные условия задаются следующим образом:</w:t>
      </w:r>
    </w:p>
    <w:p>
      <w:pPr>
        <w:pStyle w:val="SourceCode"/>
      </w:pPr>
      <w:r>
        <w:rPr>
          <w:rStyle w:val="CommentTok"/>
        </w:rPr>
        <w:t xml:space="preserve"># критическая стоимость продукта</w:t>
      </w:r>
      <w:r>
        <w:br/>
      </w:r>
      <w:r>
        <w:rPr>
          <w:rStyle w:val="NormalTok"/>
        </w:rPr>
        <w:t xml:space="preserve">p_cr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длительность производственного цикла фирмы 1</w:t>
      </w:r>
      <w:r>
        <w:br/>
      </w:r>
      <w:r>
        <w:rPr>
          <w:rStyle w:val="NormalTok"/>
        </w:rPr>
        <w:t xml:space="preserve">tau1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CommentTok"/>
        </w:rPr>
        <w:t xml:space="preserve"># себестоимость продукта у фирмы 1</w:t>
      </w:r>
      <w:r>
        <w:br/>
      </w:r>
      <w:r>
        <w:rPr>
          <w:rStyle w:val="NormalTok"/>
        </w:rPr>
        <w:t xml:space="preserve">p1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длительность производственного цикла фирмы 2</w:t>
      </w:r>
      <w:r>
        <w:br/>
      </w:r>
      <w:r>
        <w:rPr>
          <w:rStyle w:val="NormalTok"/>
        </w:rPr>
        <w:t xml:space="preserve">tau2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br/>
      </w:r>
      <w:r>
        <w:br/>
      </w:r>
      <w:r>
        <w:rPr>
          <w:rStyle w:val="CommentTok"/>
        </w:rPr>
        <w:t xml:space="preserve"># себестоимость продукта у фирмы 2</w:t>
      </w:r>
      <w:r>
        <w:br/>
      </w:r>
      <w:r>
        <w:rPr>
          <w:rStyle w:val="NormalTok"/>
        </w:rPr>
        <w:t xml:space="preserve">p2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CommentTok"/>
        </w:rPr>
        <w:t xml:space="preserve"># число потребителей производимого продукта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33</w:t>
      </w:r>
      <w:r>
        <w:br/>
      </w:r>
      <w:r>
        <w:br/>
      </w:r>
      <w:r>
        <w:rPr>
          <w:rStyle w:val="CommentTok"/>
        </w:rPr>
        <w:t xml:space="preserve"># максимальная потребность одного человека в продукте в единицу времени</w:t>
      </w:r>
      <w:r>
        <w:br/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Также необходимо посчитать коэффициенты, учавствующие в решении дифференциального уравнения:</w:t>
      </w:r>
    </w:p>
    <w:p>
      <w:pPr>
        <w:pStyle w:val="SourceCode"/>
      </w:pPr>
      <w:r>
        <w:rPr>
          <w:rStyle w:val="NormalTok"/>
        </w:rPr>
        <w:t xml:space="preserve">a1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 </w:t>
      </w:r>
      <w:r>
        <w:br/>
      </w:r>
      <w:r>
        <w:rPr>
          <w:rStyle w:val="NormalTok"/>
        </w:rPr>
        <w:t xml:space="preserve">c1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c2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</w:t>
      </w:r>
    </w:p>
    <w:p>
      <w:pPr>
        <w:pStyle w:val="FirstParagraph"/>
      </w:pPr>
      <w:r>
        <w:t xml:space="preserve">Начальные значения системы: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</w:p>
    <w:bookmarkEnd w:id="28"/>
    <w:bookmarkStart w:id="29" w:name="X649e30286569a7d72ecb4434da4d92125427e63"/>
    <w:p>
      <w:pPr>
        <w:pStyle w:val="Heading3"/>
      </w:pPr>
      <w:r>
        <w:t xml:space="preserve">Функция, описывающая дифференциальные уравнения</w:t>
      </w:r>
    </w:p>
    <w:p>
      <w:pPr>
        <w:pStyle w:val="FirstParagraph"/>
      </w:pPr>
      <w:r>
        <w:t xml:space="preserve">Для первого случая: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syst1(x,t):</w:t>
      </w:r>
      <w:r>
        <w:br/>
      </w:r>
      <w:r>
        <w:rPr>
          <w:rStyle w:val="NormalTok"/>
        </w:rPr>
        <w:t xml:space="preserve">    dx0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dx1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[dx0,dx1]</w:t>
      </w:r>
    </w:p>
    <w:p>
      <w:pPr>
        <w:pStyle w:val="FirstParagraph"/>
      </w:pPr>
      <w:r>
        <w:t xml:space="preserve">Для второго случая: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syst2(x,t):</w:t>
      </w:r>
      <w:r>
        <w:br/>
      </w:r>
      <w:r>
        <w:rPr>
          <w:rStyle w:val="NormalTok"/>
        </w:rPr>
        <w:t xml:space="preserve">    dx0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dx1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0.00033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[dx0,dx1]</w:t>
      </w:r>
    </w:p>
    <w:bookmarkEnd w:id="29"/>
    <w:bookmarkStart w:id="30" w:name="X1566cccb866669c9d1dc2ebd7b46fdd8a2b775f"/>
    <w:p>
      <w:pPr>
        <w:pStyle w:val="Heading3"/>
      </w:pPr>
      <w:r>
        <w:t xml:space="preserve">Решение дифференциального уравнения и построение графиков</w:t>
      </w:r>
    </w:p>
    <w:p>
      <w:pPr>
        <w:pStyle w:val="FirstParagraph"/>
      </w:pPr>
      <w:r>
        <w:t xml:space="preserve">Для первого случая: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odeint(syst1, x0, t)</w:t>
      </w:r>
      <w:r>
        <w:br/>
      </w:r>
      <w:r>
        <w:br/>
      </w:r>
      <w:r>
        <w:rPr>
          <w:rStyle w:val="NormalTok"/>
        </w:rPr>
        <w:t xml:space="preserve">plt.plot(t, x)</w:t>
      </w:r>
    </w:p>
    <w:p>
      <w:pPr>
        <w:pStyle w:val="FirstParagraph"/>
      </w:pPr>
      <w:r>
        <w:t xml:space="preserve">Для второго случая: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odeint(syst2, x0, t)</w:t>
      </w:r>
      <w:r>
        <w:br/>
      </w:r>
      <w:r>
        <w:br/>
      </w:r>
      <w:r>
        <w:rPr>
          <w:rStyle w:val="NormalTok"/>
        </w:rPr>
        <w:t xml:space="preserve">plt.plot(t, x)</w:t>
      </w:r>
    </w:p>
    <w:bookmarkEnd w:id="30"/>
    <w:bookmarkEnd w:id="31"/>
    <w:bookmarkStart w:id="38" w:name="построенные-графики"/>
    <w:p>
      <w:pPr>
        <w:pStyle w:val="Heading2"/>
      </w:pPr>
      <w:r>
        <w:t xml:space="preserve">Построенные графики</w:t>
      </w:r>
    </w:p>
    <w:bookmarkStart w:id="34" w:name="случай-1"/>
    <w:p>
      <w:pPr>
        <w:pStyle w:val="Heading3"/>
      </w:pPr>
      <w:r>
        <w:t xml:space="preserve">Случай 1</w:t>
      </w:r>
    </w:p>
    <w:p>
      <w:pPr>
        <w:pStyle w:val="FirstParagraph"/>
      </w:pPr>
      <w:r>
        <w:t xml:space="preserve">При построении графика для случая, когда конкурентная борьба ведётся только рыночными методами, получила следующий результат (рис. 1):</w:t>
      </w:r>
    </w:p>
    <w:p>
      <w:pPr>
        <w:pStyle w:val="CaptionedFigure"/>
      </w:pPr>
      <w:bookmarkStart w:id="33" w:name="fig:001"/>
      <w:r>
        <w:drawing>
          <wp:inline>
            <wp:extent cx="4927600" cy="3149600"/>
            <wp:effectExtent b="0" l="0" r="0" t="0"/>
            <wp:docPr descr="Figure 1: График динамики изменения оборотных средств двух фирм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1: График динамики изменения оборотных средств двух фирм</w:t>
      </w:r>
    </w:p>
    <w:bookmarkEnd w:id="34"/>
    <w:bookmarkStart w:id="37" w:name="случай-2"/>
    <w:p>
      <w:pPr>
        <w:pStyle w:val="Heading3"/>
      </w:pPr>
      <w:r>
        <w:t xml:space="preserve">Случай 2</w:t>
      </w:r>
    </w:p>
    <w:p>
      <w:pPr>
        <w:pStyle w:val="FirstParagraph"/>
      </w:pPr>
      <w:r>
        <w:t xml:space="preserve">При построении графика для случая, когда, помимо экономического фактора влияния, используются еще и социально-психологические факторы (рис. 2):</w:t>
      </w:r>
    </w:p>
    <w:p>
      <w:pPr>
        <w:pStyle w:val="CaptionedFigure"/>
      </w:pPr>
      <w:bookmarkStart w:id="36" w:name="fig:002"/>
      <w:r>
        <w:drawing>
          <wp:inline>
            <wp:extent cx="4927600" cy="3149600"/>
            <wp:effectExtent b="0" l="0" r="0" t="0"/>
            <wp:docPr descr="Figure 2: График динамики изменения оборотных средств двух фирм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2: График динамики изменения оборотных средств двух фирм</w:t>
      </w:r>
    </w:p>
    <w:bookmarkEnd w:id="37"/>
    <w:bookmarkEnd w:id="38"/>
    <w:bookmarkEnd w:id="39"/>
    <w:bookmarkStart w:id="4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мною были усвоены основные приципы модели конкуренции двух фирм, а также проведена реализация данной модели в рамках моего варианта лабораторной работы.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№8: Модель конкуренции двух фирм</dc:title>
  <dc:creator>Родина Дарья Алексеевна, НФИбд-03-18</dc:creator>
  <dc:language>ru-RU</dc:language>
  <cp:keywords/>
  <dcterms:created xsi:type="dcterms:W3CDTF">2021-04-03T13:55:27Z</dcterms:created>
  <dcterms:modified xsi:type="dcterms:W3CDTF">2021-04-03T13:55:27Z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