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Manual de Manejo de Crisis ante Inundaciones en Uruguay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Frecuencia e impacto de las inundaciones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Factores climáticos y humanos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Eventos históricos (1959, 2007, 2015, 2019)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Marco conceptual (riesgo, amenaza, vulnerabilidad)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Objetivos del manual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Alcance y destinatarios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2. Identificación de Riesgos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Zonas propensas: fluviales, urbanas, costeras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Indicadores de riesgo (precipitaciones, caudales)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Monitoreo comunitario (Santa Lucía, Paso de los Toros)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Factores estructurales agravantes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Evaluación participativa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3. Protocolo de Respuesta Inmediata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Fase 1: Preparación (alertas, logística, difusión)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Fase 2: Respuesta (evacuaciones, refugios, servicios)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Fase 3: Recuperación inicial (evaluación, retorno)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Cronograma tipo (evento de 72 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Caso Paysandú 2007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4. Lineamientos y Buenas Prácticas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Medidas estructurales (muros, drenajes, relocalización)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Medidas no estructurales (planes barriales, simulacros)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Soluciones basadas en la naturaleza (humedales, reforestación)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Integración en el ordenamiento territorial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Buenas prácticas comunitarias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5. Comunicación de Emergencia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Principios: claridad, multicanalidad, accesibilidad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Canales: WhatsApp, radio, altavoces, SMS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Vocerías oficiales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Estrategia barrial (ej. Florida)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Prevención de desinformación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Frecuencia y tipo de mensajes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6. Guía de Preparación y Seguridad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Kit de emergencia (72 horas)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Plan de evacuación familiar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Seguridad en el hogar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Preparación comunitaria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Escuelas y centros de salud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Checklist preventivo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7. Recursos y Contactos Útiles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Instituciones nacionales (SINAE, INUMET, UTE, etc.)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CECOEDs departamentales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Refugios frecuentes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ONGs y voluntariado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Aplicaciones y mapas en línea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8. Conclusiones y Recomendaciones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Lecciones históricas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Recomendaciones institucionales y comunitarias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Cultura de prevención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Evaluación y retroalimentación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Marco de mejora continua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Anexo D: Plan de Recuperación Post-Inundación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Evaluación de daños (vivienda, servicios, salud)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Retorno seguro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Limpieza y desinfección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Salud física y psicosocial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Reactivación económica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Gestión de ayuda humanitaria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Seguimiento post-evento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