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</w:rPr>
        <w:t>СИНОПСИС ПРОТОКОЛА</w:t>
      </w:r>
    </w:p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402"/>
        <w:gridCol w:w="6520"/>
      </w:tblGrid>
      <w:tr>
        <w:tc>
          <w:tcPr>
            <w:tcW w:type="dxa" w:w="3402"/>
            <w:shd w:val="clear" w:color="auto" w:fill="F3F5F7"/>
          </w:tcPr>
          <w:p>
            <w:r>
              <w:rPr>
                <w:b/>
              </w:rPr>
              <w:t>Название протокола:</w:t>
            </w:r>
          </w:p>
        </w:tc>
        <w:tc>
          <w:tcPr>
            <w:tcW w:type="dxa" w:w="6520"/>
          </w:tcPr>
          <w:p>
            <w:r>
              <w:t>Синопсис протокола исследования биоэквивалентности: VISMODEGIB 150 мг (натощак)</w:t>
            </w:r>
          </w:p>
        </w:tc>
      </w:tr>
      <w:tr>
        <w:tc>
          <w:tcPr>
            <w:tcW w:type="dxa" w:w="3402"/>
            <w:shd w:val="clear" w:color="auto" w:fill="F3F5F7"/>
          </w:tcPr>
          <w:p>
            <w:r>
              <w:rPr>
                <w:b/>
              </w:rPr>
              <w:t>Идентификационный номер протокола:</w:t>
            </w:r>
          </w:p>
        </w:tc>
        <w:tc>
          <w:tcPr>
            <w:tcW w:type="dxa" w:w="6520"/>
          </w:tcPr>
          <w:p>
            <w:r>
              <w:t>BE-VIS-2026</w:t>
            </w:r>
          </w:p>
        </w:tc>
      </w:tr>
      <w:tr>
        <w:tc>
          <w:tcPr>
            <w:tcW w:type="dxa" w:w="3402"/>
            <w:shd w:val="clear" w:color="auto" w:fill="F3F5F7"/>
          </w:tcPr>
          <w:p>
            <w:r>
              <w:rPr>
                <w:b/>
              </w:rPr>
              <w:t>Спонсор исследования:</w:t>
            </w:r>
          </w:p>
        </w:tc>
        <w:tc>
          <w:tcPr>
            <w:tcW w:type="dxa" w:w="6520"/>
          </w:tcPr>
          <w:p>
            <w:r/>
          </w:p>
        </w:tc>
      </w:tr>
      <w:tr>
        <w:tc>
          <w:tcPr>
            <w:tcW w:type="dxa" w:w="3402"/>
            <w:shd w:val="clear" w:color="auto" w:fill="F3F5F7"/>
          </w:tcPr>
          <w:p>
            <w:r>
              <w:rPr>
                <w:b/>
              </w:rPr>
              <w:t>Исследовательский центр:</w:t>
            </w:r>
          </w:p>
        </w:tc>
        <w:tc>
          <w:tcPr>
            <w:tcW w:type="dxa" w:w="6520"/>
          </w:tcPr>
          <w:p>
            <w:r/>
          </w:p>
        </w:tc>
      </w:tr>
      <w:tr>
        <w:tc>
          <w:tcPr>
            <w:tcW w:type="dxa" w:w="3402"/>
            <w:shd w:val="clear" w:color="auto" w:fill="F3F5F7"/>
          </w:tcPr>
          <w:p>
            <w:r>
              <w:rPr>
                <w:b/>
              </w:rPr>
              <w:t>Биоаналитическая лаборатория:</w:t>
            </w:r>
          </w:p>
        </w:tc>
        <w:tc>
          <w:tcPr>
            <w:tcW w:type="dxa" w:w="6520"/>
          </w:tcPr>
          <w:p>
            <w:r/>
          </w:p>
        </w:tc>
      </w:tr>
      <w:tr>
        <w:tc>
          <w:tcPr>
            <w:tcW w:type="dxa" w:w="3402"/>
            <w:shd w:val="clear" w:color="auto" w:fill="F3F5F7"/>
          </w:tcPr>
          <w:p>
            <w:r>
              <w:rPr>
                <w:b/>
              </w:rPr>
              <w:t>Фаза клинического исследования:</w:t>
            </w:r>
          </w:p>
        </w:tc>
        <w:tc>
          <w:tcPr>
            <w:tcW w:type="dxa" w:w="6520"/>
          </w:tcPr>
          <w:p>
            <w:r>
              <w:t>I</w:t>
            </w:r>
          </w:p>
        </w:tc>
      </w:tr>
      <w:tr>
        <w:tc>
          <w:tcPr>
            <w:tcW w:type="dxa" w:w="3402"/>
            <w:shd w:val="clear" w:color="auto" w:fill="F3F5F7"/>
          </w:tcPr>
          <w:p>
            <w:r>
              <w:rPr>
                <w:b/>
              </w:rPr>
              <w:t>Название исследуемого препарата:</w:t>
            </w:r>
          </w:p>
        </w:tc>
        <w:tc>
          <w:tcPr>
            <w:tcW w:type="dxa" w:w="6520"/>
          </w:tcPr>
          <w:p>
            <w:r>
              <w:t>Тестируемый препарат VISMODEGIB 150 мг</w:t>
            </w:r>
          </w:p>
        </w:tc>
      </w:tr>
      <w:tr>
        <w:tc>
          <w:tcPr>
            <w:tcW w:type="dxa" w:w="3402"/>
            <w:shd w:val="clear" w:color="auto" w:fill="F3F5F7"/>
          </w:tcPr>
          <w:p>
            <w:r>
              <w:rPr>
                <w:b/>
              </w:rPr>
              <w:t>Действующее вещество:</w:t>
            </w:r>
          </w:p>
        </w:tc>
        <w:tc>
          <w:tcPr>
            <w:tcW w:type="dxa" w:w="6520"/>
          </w:tcPr>
          <w:p>
            <w:r>
              <w:t>VISMODEGIB</w:t>
            </w:r>
          </w:p>
        </w:tc>
      </w:tr>
      <w:tr>
        <w:tc>
          <w:tcPr>
            <w:tcW w:type="dxa" w:w="3402"/>
            <w:shd w:val="clear" w:color="auto" w:fill="F3F5F7"/>
          </w:tcPr>
          <w:p>
            <w:r>
              <w:rPr>
                <w:b/>
              </w:rPr>
              <w:t>Лекарственная форма и дозировка:</w:t>
            </w:r>
          </w:p>
        </w:tc>
        <w:tc>
          <w:tcPr>
            <w:tcW w:type="dxa" w:w="6520"/>
          </w:tcPr>
          <w:p>
            <w:r>
              <w:t>Таблетки, 150 мг</w:t>
            </w:r>
          </w:p>
        </w:tc>
      </w:tr>
      <w:tr>
        <w:tc>
          <w:tcPr>
            <w:tcW w:type="dxa" w:w="3402"/>
            <w:shd w:val="clear" w:color="auto" w:fill="F3F5F7"/>
          </w:tcPr>
          <w:p>
            <w:r>
              <w:rPr>
                <w:b/>
              </w:rPr>
              <w:t>Цель исследования:</w:t>
            </w:r>
          </w:p>
        </w:tc>
        <w:tc>
          <w:tcPr>
            <w:tcW w:type="dxa" w:w="6520"/>
          </w:tcPr>
          <w:p>
            <w:r>
              <w:t>Оценить биоэквивалентность тестируемого и референтного препаратов VISMODEGIB по параметрам Cmax и AUC при приёме натощак.</w:t>
            </w:r>
          </w:p>
        </w:tc>
      </w:tr>
      <w:tr>
        <w:tc>
          <w:tcPr>
            <w:tcW w:type="dxa" w:w="3402"/>
            <w:shd w:val="clear" w:color="auto" w:fill="F3F5F7"/>
          </w:tcPr>
          <w:p>
            <w:r>
              <w:rPr>
                <w:b/>
              </w:rPr>
              <w:t>Задачи исследования:</w:t>
            </w:r>
          </w:p>
        </w:tc>
        <w:tc>
          <w:tcPr>
            <w:tcW w:type="dxa" w:w="6520"/>
          </w:tcPr>
          <w:p>
            <w:r>
              <w:t>• Сравнить Cmax и AUC0-t (и при возможности AUC0-∞) после лог-трансформации.</w:t>
              <w:br/>
              <w:t>• Оценить Tmax описательно.</w:t>
              <w:br/>
              <w:t>• Оценить безопасность и переносимость (НЯ, жизненные показатели, лабораторные показатели).</w:t>
            </w:r>
          </w:p>
        </w:tc>
      </w:tr>
      <w:tr>
        <w:tc>
          <w:tcPr>
            <w:tcW w:type="dxa" w:w="3402"/>
            <w:shd w:val="clear" w:color="auto" w:fill="F3F5F7"/>
          </w:tcPr>
          <w:p>
            <w:r>
              <w:rPr>
                <w:b/>
              </w:rPr>
              <w:t>Дизайн исследования:</w:t>
            </w:r>
          </w:p>
        </w:tc>
        <w:tc>
          <w:tcPr>
            <w:tcW w:type="dxa" w:w="6520"/>
          </w:tcPr>
          <w:p>
            <w:r>
              <w:t>Рандомизированное, открытое, двухпериодное, двухпоследовательностное перекрёстное исследование (2×2 cross-over).</w:t>
            </w:r>
          </w:p>
        </w:tc>
      </w:tr>
      <w:tr>
        <w:tc>
          <w:tcPr>
            <w:tcW w:type="dxa" w:w="3402"/>
            <w:shd w:val="clear" w:color="auto" w:fill="F3F5F7"/>
          </w:tcPr>
          <w:p>
            <w:r>
              <w:rPr>
                <w:b/>
              </w:rPr>
              <w:t>Периоды / последовательности:</w:t>
            </w:r>
          </w:p>
        </w:tc>
        <w:tc>
          <w:tcPr>
            <w:tcW w:type="dxa" w:w="6520"/>
          </w:tcPr>
          <w:p>
            <w:r>
              <w:t>2 период(а/ов), 2 последовательности(ей), washout 7 дней; washout 7 дней</w:t>
            </w:r>
          </w:p>
        </w:tc>
      </w:tr>
      <w:tr>
        <w:tc>
          <w:tcPr>
            <w:tcW w:type="dxa" w:w="3402"/>
            <w:shd w:val="clear" w:color="auto" w:fill="F3F5F7"/>
          </w:tcPr>
          <w:p>
            <w:r>
              <w:rPr>
                <w:b/>
              </w:rPr>
              <w:t>Длительность:</w:t>
            </w:r>
          </w:p>
        </w:tc>
        <w:tc>
          <w:tcPr>
            <w:tcW w:type="dxa" w:w="6520"/>
          </w:tcPr>
          <w:p>
            <w:r>
              <w:t>Скрининг до 28 дней; периоды согласно дизайну; финальный визит после завершения отбора проб.</w:t>
            </w:r>
          </w:p>
        </w:tc>
      </w:tr>
      <w:tr>
        <w:tc>
          <w:tcPr>
            <w:tcW w:type="dxa" w:w="3402"/>
            <w:shd w:val="clear" w:color="auto" w:fill="F3F5F7"/>
          </w:tcPr>
          <w:p>
            <w:r>
              <w:rPr>
                <w:b/>
              </w:rPr>
              <w:t>Популяция:</w:t>
            </w:r>
          </w:p>
        </w:tc>
        <w:tc>
          <w:tcPr>
            <w:tcW w:type="dxa" w:w="6520"/>
          </w:tcPr>
          <w:p>
            <w:r>
              <w:t>Здоровые добровольцы (мужчины и/или женщины) согласно критериям включения/исключения.</w:t>
            </w:r>
          </w:p>
        </w:tc>
      </w:tr>
      <w:tr>
        <w:tc>
          <w:tcPr>
            <w:tcW w:type="dxa" w:w="3402"/>
            <w:shd w:val="clear" w:color="auto" w:fill="F3F5F7"/>
          </w:tcPr>
          <w:p>
            <w:r>
              <w:rPr>
                <w:b/>
              </w:rPr>
              <w:t>Критерии включения:</w:t>
            </w:r>
          </w:p>
        </w:tc>
        <w:tc>
          <w:tcPr>
            <w:tcW w:type="dxa" w:w="6520"/>
          </w:tcPr>
          <w:p>
            <w:r>
              <w:t>• Подписанное информированное согласие.</w:t>
              <w:br/>
              <w:t>• Возраст 18–55 лет.</w:t>
              <w:br/>
              <w:t>• ИМТ 18.5–30.0 кг/м².</w:t>
              <w:br/>
              <w:t>• Отсутствие клинически значимых отклонений по обследованиям и анализам.</w:t>
            </w:r>
          </w:p>
        </w:tc>
      </w:tr>
      <w:tr>
        <w:tc>
          <w:tcPr>
            <w:tcW w:type="dxa" w:w="3402"/>
            <w:shd w:val="clear" w:color="auto" w:fill="F3F5F7"/>
          </w:tcPr>
          <w:p>
            <w:r>
              <w:rPr>
                <w:b/>
              </w:rPr>
              <w:t>Критерии исключения:</w:t>
            </w:r>
          </w:p>
        </w:tc>
        <w:tc>
          <w:tcPr>
            <w:tcW w:type="dxa" w:w="6520"/>
          </w:tcPr>
          <w:p>
            <w:r>
              <w:t>• Гиперчувствительность к действующему веществу или компонентам препарата.</w:t>
              <w:br/>
              <w:t>• Приём лекарств, влияющих на фармакокинетику, в период скрининга/отмывки.</w:t>
              <w:br/>
              <w:t>• Значимые хронические заболевания (печени, почек, ССС и др.).</w:t>
              <w:br/>
              <w:t>• Участие в другом клиническом исследовании в последние 3 месяца.</w:t>
            </w:r>
          </w:p>
        </w:tc>
      </w:tr>
      <w:tr>
        <w:tc>
          <w:tcPr>
            <w:tcW w:type="dxa" w:w="3402"/>
            <w:shd w:val="clear" w:color="auto" w:fill="F3F5F7"/>
          </w:tcPr>
          <w:p>
            <w:r>
              <w:rPr>
                <w:b/>
              </w:rPr>
              <w:t>Критерии прекращения участия:</w:t>
            </w:r>
          </w:p>
        </w:tc>
        <w:tc>
          <w:tcPr>
            <w:tcW w:type="dxa" w:w="6520"/>
          </w:tcPr>
          <w:p>
            <w:r>
              <w:t>• Добровольный отказ участника.</w:t>
              <w:br/>
              <w:t>• Развитие нежелательных явлений, требующих вывода из исследования.</w:t>
              <w:br/>
              <w:t>• Нарушение протокола, влияющее на интерпретацию результатов.</w:t>
            </w:r>
          </w:p>
        </w:tc>
      </w:tr>
      <w:tr>
        <w:tc>
          <w:tcPr>
            <w:tcW w:type="dxa" w:w="3402"/>
            <w:shd w:val="clear" w:color="auto" w:fill="F3F5F7"/>
          </w:tcPr>
          <w:p>
            <w:r>
              <w:rPr>
                <w:b/>
              </w:rPr>
              <w:t>Режим дозирования (Test):</w:t>
            </w:r>
          </w:p>
        </w:tc>
        <w:tc>
          <w:tcPr>
            <w:tcW w:type="dxa" w:w="6520"/>
          </w:tcPr>
          <w:p>
            <w:r>
              <w:t>Однократный приём тестируемого препарата 150 мг натощак с 240 мл воды.</w:t>
            </w:r>
          </w:p>
        </w:tc>
      </w:tr>
      <w:tr>
        <w:tc>
          <w:tcPr>
            <w:tcW w:type="dxa" w:w="3402"/>
            <w:shd w:val="clear" w:color="auto" w:fill="F3F5F7"/>
          </w:tcPr>
          <w:p>
            <w:r>
              <w:rPr>
                <w:b/>
              </w:rPr>
              <w:t>Режим дозирования (Reference):</w:t>
            </w:r>
          </w:p>
        </w:tc>
        <w:tc>
          <w:tcPr>
            <w:tcW w:type="dxa" w:w="6520"/>
          </w:tcPr>
          <w:p>
            <w:r>
              <w:t>Однократный приём референтного препарата 150 мг натощак с 240 мл воды.</w:t>
            </w:r>
          </w:p>
        </w:tc>
      </w:tr>
      <w:tr>
        <w:tc>
          <w:tcPr>
            <w:tcW w:type="dxa" w:w="3402"/>
            <w:shd w:val="clear" w:color="auto" w:fill="F3F5F7"/>
          </w:tcPr>
          <w:p>
            <w:r>
              <w:rPr>
                <w:b/>
              </w:rPr>
              <w:t>Отбор проб / методология:</w:t>
            </w:r>
          </w:p>
        </w:tc>
        <w:tc>
          <w:tcPr>
            <w:tcW w:type="dxa" w:w="6520"/>
          </w:tcPr>
          <w:p>
            <w:r>
              <w:t>Отбор проб крови проводится в каждом периоде до 72 ч после дозирования (плотнее вокруг Tmax=— ч; t1/2=— ч). Предлагаемая сетка точек (ч): 0, 0.25, 0.5, 1, 1.5, 2, 3, 4, 6, 8, 12, 24, 36, 48, 72.</w:t>
              <w:br/>
              <w:br/>
              <w:t>Точки отбора (ч): 0, 0.25, 0.5, 1, 1.5, 2, 3, 4, 6, 8, 12, 24, 36, 48, 72</w:t>
            </w:r>
          </w:p>
        </w:tc>
      </w:tr>
      <w:tr>
        <w:tc>
          <w:tcPr>
            <w:tcW w:type="dxa" w:w="3402"/>
            <w:shd w:val="clear" w:color="auto" w:fill="F3F5F7"/>
          </w:tcPr>
          <w:p>
            <w:r>
              <w:rPr>
                <w:b/>
              </w:rPr>
              <w:t>Биоаналитика:</w:t>
            </w:r>
          </w:p>
        </w:tc>
        <w:tc>
          <w:tcPr>
            <w:tcW w:type="dxa" w:w="6520"/>
          </w:tcPr>
          <w:p>
            <w:r>
              <w:t>Валидационный биоаналитический метод LC-MS/MS для определения концентраций действующего вещества в плазме.</w:t>
            </w:r>
          </w:p>
        </w:tc>
      </w:tr>
      <w:tr>
        <w:tc>
          <w:tcPr>
            <w:tcW w:type="dxa" w:w="3402"/>
            <w:shd w:val="clear" w:color="auto" w:fill="F3F5F7"/>
          </w:tcPr>
          <w:p>
            <w:r>
              <w:rPr>
                <w:b/>
              </w:rPr>
              <w:t>PK параметры:</w:t>
            </w:r>
          </w:p>
        </w:tc>
        <w:tc>
          <w:tcPr>
            <w:tcW w:type="dxa" w:w="6520"/>
          </w:tcPr>
          <w:p>
            <w:r>
              <w:t>Cmax, AUC0-t, AUC0-∞ (при наличии), Tmax (описательно)</w:t>
            </w:r>
          </w:p>
        </w:tc>
      </w:tr>
      <w:tr>
        <w:tc>
          <w:tcPr>
            <w:tcW w:type="dxa" w:w="3402"/>
            <w:shd w:val="clear" w:color="auto" w:fill="F3F5F7"/>
          </w:tcPr>
          <w:p>
            <w:r>
              <w:rPr>
                <w:b/>
              </w:rPr>
              <w:t>Критерии биоэквивалентности:</w:t>
            </w:r>
          </w:p>
        </w:tc>
        <w:tc>
          <w:tcPr>
            <w:tcW w:type="dxa" w:w="6520"/>
          </w:tcPr>
          <w:p>
            <w:r>
              <w:t>90% ДИ для отношения геометрических средних (T/R) по ln(Cmax) и ln(AUC0-t) в пределах 80.00–125.00%.</w:t>
            </w:r>
          </w:p>
        </w:tc>
      </w:tr>
      <w:tr>
        <w:tc>
          <w:tcPr>
            <w:tcW w:type="dxa" w:w="3402"/>
            <w:shd w:val="clear" w:color="auto" w:fill="F3F5F7"/>
          </w:tcPr>
          <w:p>
            <w:r>
              <w:rPr>
                <w:b/>
              </w:rPr>
              <w:t>Расчёт выборки:</w:t>
            </w:r>
          </w:p>
        </w:tc>
        <w:tc>
          <w:tcPr>
            <w:tcW w:type="dxa" w:w="6520"/>
          </w:tcPr>
          <w:p>
            <w:r>
              <w:t>Расчёт выполнен для 90% ДИ (α=0.05) и мощности 80%. Использован CVintra=20%. Требуется завершивших: 14; к скринингу: 20 (с учётом drop-out/screen-fail из входных параметров).</w:t>
            </w:r>
          </w:p>
        </w:tc>
      </w:tr>
      <w:tr>
        <w:tc>
          <w:tcPr>
            <w:tcW w:type="dxa" w:w="3402"/>
            <w:shd w:val="clear" w:color="auto" w:fill="F3F5F7"/>
          </w:tcPr>
          <w:p>
            <w:r>
              <w:rPr>
                <w:b/>
              </w:rPr>
              <w:t>Безопасность:</w:t>
            </w:r>
          </w:p>
        </w:tc>
        <w:tc>
          <w:tcPr>
            <w:tcW w:type="dxa" w:w="6520"/>
          </w:tcPr>
          <w:p>
            <w:r>
              <w:t>Оценка НЯ/СНЯ, физикальные осмотры, жизненные показатели, ЭКГ, клинические и биохимические анализы крови/мочи.</w:t>
            </w:r>
          </w:p>
        </w:tc>
      </w:tr>
      <w:tr>
        <w:tc>
          <w:tcPr>
            <w:tcW w:type="dxa" w:w="3402"/>
            <w:shd w:val="clear" w:color="auto" w:fill="F3F5F7"/>
          </w:tcPr>
          <w:p>
            <w:r>
              <w:rPr>
                <w:b/>
              </w:rPr>
              <w:t>Этические аспекты:</w:t>
            </w:r>
          </w:p>
        </w:tc>
        <w:tc>
          <w:tcPr>
            <w:tcW w:type="dxa" w:w="6520"/>
          </w:tcPr>
          <w:p>
            <w:r>
              <w:t>Исследование проводится в соответствии с GCP, Хельсинкской декларацией и локальными требованиями. Обязательно информированное согласие.</w:t>
            </w:r>
          </w:p>
        </w:tc>
      </w:tr>
      <w:tr>
        <w:tc>
          <w:tcPr>
            <w:tcW w:type="dxa" w:w="3402"/>
            <w:shd w:val="clear" w:color="auto" w:fill="F3F5F7"/>
          </w:tcPr>
          <w:p>
            <w:r>
              <w:rPr>
                <w:b/>
              </w:rPr>
              <w:t>Дата версии:</w:t>
            </w:r>
          </w:p>
        </w:tc>
        <w:tc>
          <w:tcPr>
            <w:tcW w:type="dxa" w:w="6520"/>
          </w:tcPr>
          <w:p>
            <w:r>
              <w:t>2026-02-25</w:t>
            </w:r>
          </w:p>
        </w:tc>
      </w:tr>
      <w:tr>
        <w:tc>
          <w:tcPr>
            <w:tcW w:type="dxa" w:w="3402"/>
            <w:shd w:val="clear" w:color="auto" w:fill="F3F5F7"/>
          </w:tcPr>
          <w:p>
            <w:r>
              <w:rPr>
                <w:b/>
              </w:rPr>
              <w:t>Источники:</w:t>
            </w:r>
          </w:p>
        </w:tc>
        <w:tc>
          <w:tcPr>
            <w:tcW w:type="dxa" w:w="6520"/>
          </w:tcPr>
          <w:p>
            <w:r>
              <w:t>• Evaluation of food effect on pharmacokinetics of vismodegib in ... — https://pmc.ncbi.nlm.nih.gov/articles/PMC3674138/</w:t>
              <w:br/>
              <w:t>• [PDF] overview-comments-received-vismodegib-hard-capsule-150-mg ... — https://www.ema.europa.eu/en/documents/comments/overview-comments-received-vismodegib-hard-capsule-150-mg-product-specific-bioequivalence-guidance_en.pdf</w:t>
              <w:br/>
              <w:t>• Evaluation of Food Effect on Pharmacokinetics of Vismodegib in ... — https://www.researchgate.net/publication/236104749_Evaluation_of_Food_Effect_on_Pharmacokinetics_of_Vismodegib_in_Advanced_Solid_Tumor_Patients</w:t>
              <w:br/>
              <w:t>• Single and multiple dose intravenous and oral pharmacokinetics of ... — https://pmc.ncbi.nlm.nih.gov/articles/PMC3495143/</w:t>
              <w:br/>
              <w:t>• Pharmacokinetics and safety of vismodegib in patients with ... - PMC — https://pmc.ncbi.nlm.nih.gov/articles/PMC5520972/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